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3AEB9" w14:textId="77777777" w:rsidR="00D15661" w:rsidRPr="00214C70" w:rsidRDefault="00D15661" w:rsidP="00214C70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2E6D2B" w:rsidRPr="00214C70" w14:paraId="096054DC" w14:textId="77777777" w:rsidTr="00E43140">
        <w:tc>
          <w:tcPr>
            <w:tcW w:w="5529" w:type="dxa"/>
          </w:tcPr>
          <w:p w14:paraId="53A2A874" w14:textId="77777777" w:rsidR="002E6D2B" w:rsidRPr="00214C70" w:rsidRDefault="002E6D2B" w:rsidP="00214C7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color="FF0000"/>
                <w:lang w:val="pl-PL"/>
              </w:rPr>
            </w:pPr>
          </w:p>
        </w:tc>
        <w:tc>
          <w:tcPr>
            <w:tcW w:w="3969" w:type="dxa"/>
          </w:tcPr>
          <w:p w14:paraId="22253B4A" w14:textId="77777777" w:rsidR="002E6D2B" w:rsidRPr="00214C70" w:rsidRDefault="002F134D" w:rsidP="00214C7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  <w:u w:color="FF0000"/>
                <w:lang w:val="pl-PL"/>
              </w:rPr>
            </w:pPr>
            <w:r w:rsidRPr="00214C70">
              <w:rPr>
                <w:rFonts w:asciiTheme="minorHAnsi" w:hAnsiTheme="minorHAnsi"/>
                <w:b/>
                <w:sz w:val="22"/>
                <w:szCs w:val="22"/>
                <w:u w:color="FF0000"/>
                <w:lang w:val="pl-PL"/>
              </w:rPr>
              <w:t>2.03</w:t>
            </w:r>
            <w:r w:rsidR="002E6D2B" w:rsidRPr="00214C70">
              <w:rPr>
                <w:rFonts w:asciiTheme="minorHAnsi" w:hAnsiTheme="minorHAnsi"/>
                <w:b/>
                <w:sz w:val="22"/>
                <w:szCs w:val="22"/>
                <w:u w:color="FF0000"/>
                <w:lang w:val="pl-PL"/>
              </w:rPr>
              <w:t>.2017</w:t>
            </w:r>
            <w:r w:rsidR="00D15661" w:rsidRPr="00214C70">
              <w:rPr>
                <w:rFonts w:asciiTheme="minorHAnsi" w:hAnsiTheme="minorHAnsi"/>
                <w:b/>
                <w:sz w:val="22"/>
                <w:szCs w:val="22"/>
                <w:u w:color="FF0000"/>
                <w:lang w:val="pl-PL"/>
              </w:rPr>
              <w:t xml:space="preserve"> r.</w:t>
            </w:r>
          </w:p>
        </w:tc>
      </w:tr>
    </w:tbl>
    <w:p w14:paraId="4FA440A1" w14:textId="77777777" w:rsidR="002E6D2B" w:rsidRPr="00214C70" w:rsidRDefault="001B5943" w:rsidP="00214C70">
      <w:pPr>
        <w:pStyle w:val="Default"/>
        <w:spacing w:line="276" w:lineRule="auto"/>
        <w:jc w:val="center"/>
        <w:rPr>
          <w:rFonts w:asciiTheme="minorHAnsi" w:hAnsiTheme="minorHAnsi" w:cs="Calibri Light"/>
          <w:spacing w:val="102"/>
          <w:sz w:val="22"/>
          <w:szCs w:val="22"/>
          <w:u w:color="FF0000"/>
          <w:lang w:val="pl-PL"/>
        </w:rPr>
      </w:pPr>
      <w:r w:rsidRPr="00214C70">
        <w:rPr>
          <w:rFonts w:asciiTheme="minorHAnsi" w:hAnsiTheme="minorHAnsi" w:cs="Calibri Light"/>
          <w:spacing w:val="102"/>
          <w:sz w:val="22"/>
          <w:szCs w:val="22"/>
          <w:u w:color="FF0000"/>
          <w:lang w:val="pl-PL"/>
        </w:rPr>
        <w:t>Informacja prasowa</w:t>
      </w:r>
      <w:r w:rsidR="005B208F" w:rsidRPr="00214C70">
        <w:rPr>
          <w:rFonts w:asciiTheme="minorHAnsi" w:hAnsiTheme="minorHAnsi" w:cs="Calibri Light"/>
          <w:spacing w:val="102"/>
          <w:sz w:val="22"/>
          <w:szCs w:val="22"/>
          <w:u w:color="FF0000"/>
          <w:lang w:val="pl-PL"/>
        </w:rPr>
        <w:t>- rozszerzona</w:t>
      </w:r>
    </w:p>
    <w:p w14:paraId="6B504FFB" w14:textId="77777777" w:rsidR="00E43140" w:rsidRPr="00214C70" w:rsidRDefault="00B03BA4" w:rsidP="00214C70">
      <w:pPr>
        <w:pStyle w:val="Default"/>
        <w:spacing w:before="120" w:line="276" w:lineRule="auto"/>
        <w:jc w:val="center"/>
        <w:outlineLvl w:val="0"/>
        <w:rPr>
          <w:rFonts w:asciiTheme="minorHAnsi" w:hAnsiTheme="minorHAnsi"/>
          <w:b/>
          <w:sz w:val="22"/>
          <w:szCs w:val="22"/>
          <w:u w:color="FF0000"/>
          <w:lang w:val="pl-PL"/>
        </w:rPr>
      </w:pPr>
      <w:r w:rsidRPr="00214C70">
        <w:rPr>
          <w:rFonts w:asciiTheme="minorHAnsi" w:hAnsiTheme="minorHAnsi"/>
          <w:b/>
          <w:sz w:val="22"/>
          <w:szCs w:val="22"/>
          <w:u w:color="FF0000"/>
          <w:lang w:val="pl-PL"/>
        </w:rPr>
        <w:t>Wczujmy się w klimat</w:t>
      </w:r>
      <w:r w:rsidR="00D95F0E" w:rsidRPr="00214C70">
        <w:rPr>
          <w:rFonts w:asciiTheme="minorHAnsi" w:hAnsiTheme="minorHAnsi"/>
          <w:b/>
          <w:sz w:val="22"/>
          <w:szCs w:val="22"/>
          <w:u w:color="FF0000"/>
          <w:lang w:val="pl-PL"/>
        </w:rPr>
        <w:t>!</w:t>
      </w:r>
    </w:p>
    <w:p w14:paraId="031934D1" w14:textId="77777777" w:rsidR="00E44680" w:rsidRPr="00214C70" w:rsidRDefault="00B03BA4" w:rsidP="00214C70">
      <w:pPr>
        <w:pStyle w:val="Default"/>
        <w:spacing w:after="240" w:line="276" w:lineRule="auto"/>
        <w:jc w:val="center"/>
        <w:outlineLvl w:val="0"/>
        <w:rPr>
          <w:rFonts w:asciiTheme="minorHAnsi" w:hAnsiTheme="minorHAnsi"/>
          <w:b/>
          <w:sz w:val="22"/>
          <w:szCs w:val="22"/>
          <w:u w:color="FF0000"/>
          <w:lang w:val="pl-PL"/>
        </w:rPr>
      </w:pPr>
      <w:r w:rsidRPr="00214C70">
        <w:rPr>
          <w:rFonts w:asciiTheme="minorHAnsi" w:hAnsiTheme="minorHAnsi"/>
          <w:b/>
          <w:sz w:val="22"/>
          <w:szCs w:val="22"/>
          <w:u w:color="FF0000"/>
          <w:lang w:val="pl-PL"/>
        </w:rPr>
        <w:t>44</w:t>
      </w:r>
      <w:r w:rsidR="00A06E0E" w:rsidRPr="00214C70">
        <w:rPr>
          <w:rFonts w:asciiTheme="minorHAnsi" w:hAnsiTheme="minorHAnsi"/>
          <w:b/>
          <w:sz w:val="22"/>
          <w:szCs w:val="22"/>
          <w:u w:color="FF0000"/>
          <w:lang w:val="pl-PL"/>
        </w:rPr>
        <w:t xml:space="preserve"> </w:t>
      </w:r>
      <w:r w:rsidR="00E43140" w:rsidRPr="00214C70">
        <w:rPr>
          <w:rFonts w:asciiTheme="minorHAnsi" w:hAnsiTheme="minorHAnsi"/>
          <w:b/>
          <w:sz w:val="22"/>
          <w:szCs w:val="22"/>
          <w:u w:color="FF0000"/>
          <w:lang w:val="pl-PL"/>
        </w:rPr>
        <w:t xml:space="preserve">samorządy przygotują </w:t>
      </w:r>
      <w:r w:rsidR="00E35DBB" w:rsidRPr="00214C70">
        <w:rPr>
          <w:rFonts w:asciiTheme="minorHAnsi" w:hAnsiTheme="minorHAnsi"/>
          <w:b/>
          <w:sz w:val="22"/>
          <w:szCs w:val="22"/>
          <w:u w:color="FF0000"/>
          <w:lang w:val="pl-PL"/>
        </w:rPr>
        <w:t>plan</w:t>
      </w:r>
      <w:r w:rsidR="00E43140" w:rsidRPr="00214C70">
        <w:rPr>
          <w:rFonts w:asciiTheme="minorHAnsi" w:hAnsiTheme="minorHAnsi"/>
          <w:b/>
          <w:sz w:val="22"/>
          <w:szCs w:val="22"/>
          <w:u w:color="FF0000"/>
          <w:lang w:val="pl-PL"/>
        </w:rPr>
        <w:t>y</w:t>
      </w:r>
      <w:r w:rsidR="00D95F0E" w:rsidRPr="00214C70">
        <w:rPr>
          <w:rFonts w:asciiTheme="minorHAnsi" w:hAnsiTheme="minorHAnsi"/>
          <w:b/>
          <w:sz w:val="22"/>
          <w:szCs w:val="22"/>
          <w:u w:color="FF0000"/>
          <w:lang w:val="pl-PL"/>
        </w:rPr>
        <w:t xml:space="preserve"> adaptacji do zmian klimatu</w:t>
      </w:r>
      <w:r w:rsidR="004C3E38" w:rsidRPr="00214C70">
        <w:rPr>
          <w:rFonts w:asciiTheme="minorHAnsi" w:hAnsiTheme="minorHAnsi"/>
          <w:b/>
          <w:sz w:val="22"/>
          <w:szCs w:val="22"/>
          <w:u w:color="FF0000"/>
          <w:lang w:val="pl-PL"/>
        </w:rPr>
        <w:t>.</w:t>
      </w:r>
    </w:p>
    <w:p w14:paraId="790BE74D" w14:textId="77777777" w:rsidR="00237D47" w:rsidRDefault="00AA1FC1" w:rsidP="00A91706">
      <w:pPr>
        <w:pStyle w:val="Domylne"/>
        <w:spacing w:before="360" w:after="80" w:line="276" w:lineRule="auto"/>
        <w:jc w:val="both"/>
        <w:rPr>
          <w:rFonts w:asciiTheme="minorHAnsi" w:hAnsiTheme="minorHAnsi" w:cs="Calibri"/>
          <w:u w:val="single"/>
        </w:rPr>
      </w:pPr>
      <w:r w:rsidRPr="00214C70">
        <w:rPr>
          <w:rFonts w:asciiTheme="minorHAnsi" w:hAnsiTheme="minorHAnsi" w:cs="Calibri"/>
          <w:b/>
          <w:u w:color="000000"/>
        </w:rPr>
        <w:t>Opracowanie planów adaptacji do zmian klimatu w miastach powyżej 100 tys. mieszkańców</w:t>
      </w:r>
      <w:r w:rsidRPr="00214C70">
        <w:rPr>
          <w:rFonts w:asciiTheme="minorHAnsi" w:hAnsiTheme="minorHAnsi" w:cs="Calibri"/>
          <w:u w:color="000000"/>
        </w:rPr>
        <w:t xml:space="preserve"> to projekt Ministerstwa Środowiska, którego głównym celem jest ocena wrażliwości i podatności na zmiany klimatu każdego z 44 polskich miast partnerskich i zaplanowanie działań adaptacyjnych, adekwatnych do zidentyfikowanych zag</w:t>
      </w:r>
      <w:r w:rsidR="00817EEB">
        <w:rPr>
          <w:rFonts w:asciiTheme="minorHAnsi" w:hAnsiTheme="minorHAnsi" w:cs="Calibri"/>
          <w:u w:color="000000"/>
        </w:rPr>
        <w:t>rożeń. Zmiany klimatu</w:t>
      </w:r>
      <w:r w:rsidRPr="00214C70">
        <w:rPr>
          <w:rFonts w:asciiTheme="minorHAnsi" w:hAnsiTheme="minorHAnsi" w:cs="Calibri"/>
          <w:u w:color="000000"/>
        </w:rPr>
        <w:t xml:space="preserve"> są nie tylko problemem globalnym, ale coraz bardziej stają się także „palącym” problemem lokalnym. </w:t>
      </w:r>
      <w:r w:rsidRPr="00214C70">
        <w:rPr>
          <w:rFonts w:asciiTheme="minorHAnsi" w:hAnsiTheme="minorHAnsi" w:cs="Calibri"/>
          <w:u w:val="single"/>
        </w:rPr>
        <w:t xml:space="preserve">Ze względu na swoją skalę jest </w:t>
      </w:r>
      <w:r w:rsidRPr="00214C70">
        <w:rPr>
          <w:rFonts w:asciiTheme="minorHAnsi" w:hAnsiTheme="minorHAnsi" w:cs="Calibri"/>
          <w:b/>
          <w:u w:val="single"/>
        </w:rPr>
        <w:t>to jedyna inicjatywa w Europie</w:t>
      </w:r>
      <w:r w:rsidRPr="00214C70">
        <w:rPr>
          <w:rFonts w:asciiTheme="minorHAnsi" w:hAnsiTheme="minorHAnsi" w:cs="Calibri"/>
          <w:u w:val="single"/>
        </w:rPr>
        <w:t>, w której ministerstwo wspiera lokalne władze i administrację, koordynując i wspólnie wypracowując rozwiązania przystosowawcze do skutków zmian klimatu dla tak dużej liczby jednostek lokalnych.</w:t>
      </w:r>
      <w:r w:rsidR="00A91706" w:rsidRPr="00F314CB">
        <w:rPr>
          <w:rFonts w:asciiTheme="minorHAnsi" w:hAnsiTheme="minorHAnsi" w:cs="Calibri"/>
          <w:u w:val="single"/>
        </w:rPr>
        <w:t xml:space="preserve"> </w:t>
      </w:r>
    </w:p>
    <w:p w14:paraId="58B569B6" w14:textId="77777777" w:rsidR="00243E85" w:rsidRDefault="00214C70" w:rsidP="00817EEB">
      <w:pPr>
        <w:pStyle w:val="Domylne"/>
        <w:spacing w:before="360" w:after="120" w:line="276" w:lineRule="auto"/>
        <w:outlineLvl w:val="0"/>
        <w:rPr>
          <w:rFonts w:asciiTheme="minorHAnsi" w:hAnsiTheme="minorHAnsi"/>
          <w:b/>
        </w:rPr>
      </w:pPr>
      <w:r w:rsidRPr="004C3C6B">
        <w:rPr>
          <w:rFonts w:asciiTheme="minorHAnsi" w:hAnsiTheme="minorHAnsi"/>
          <w:b/>
        </w:rPr>
        <w:t xml:space="preserve">Dlaczego </w:t>
      </w:r>
      <w:r w:rsidR="00A91706">
        <w:rPr>
          <w:rFonts w:asciiTheme="minorHAnsi" w:hAnsiTheme="minorHAnsi"/>
          <w:b/>
        </w:rPr>
        <w:t>adaptacj</w:t>
      </w:r>
      <w:r w:rsidR="00A76EFF">
        <w:rPr>
          <w:rFonts w:asciiTheme="minorHAnsi" w:hAnsiTheme="minorHAnsi"/>
          <w:b/>
        </w:rPr>
        <w:t>a</w:t>
      </w:r>
      <w:r w:rsidR="00A91706">
        <w:rPr>
          <w:rFonts w:asciiTheme="minorHAnsi" w:hAnsiTheme="minorHAnsi"/>
          <w:b/>
        </w:rPr>
        <w:t xml:space="preserve"> do zmian klimatu </w:t>
      </w:r>
      <w:r w:rsidR="00A76EFF">
        <w:rPr>
          <w:rFonts w:asciiTheme="minorHAnsi" w:hAnsiTheme="minorHAnsi"/>
          <w:b/>
        </w:rPr>
        <w:t>jest</w:t>
      </w:r>
      <w:r w:rsidR="00A91706">
        <w:rPr>
          <w:rFonts w:asciiTheme="minorHAnsi" w:hAnsiTheme="minorHAnsi"/>
          <w:b/>
        </w:rPr>
        <w:t xml:space="preserve"> ważn</w:t>
      </w:r>
      <w:r w:rsidR="00A76EFF">
        <w:rPr>
          <w:rFonts w:asciiTheme="minorHAnsi" w:hAnsiTheme="minorHAnsi"/>
          <w:b/>
        </w:rPr>
        <w:t>a</w:t>
      </w:r>
      <w:r w:rsidR="0003504E">
        <w:rPr>
          <w:rFonts w:asciiTheme="minorHAnsi" w:hAnsiTheme="minorHAnsi"/>
          <w:b/>
        </w:rPr>
        <w:t>?</w:t>
      </w:r>
    </w:p>
    <w:p w14:paraId="42A55BE2" w14:textId="77777777" w:rsidR="00F556C3" w:rsidRDefault="0003504E" w:rsidP="00214C70">
      <w:pPr>
        <w:pStyle w:val="Domylne"/>
        <w:spacing w:line="276" w:lineRule="auto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W ostatnim stuleciu średnia temperatura powietrza przy powierzchni ziemi wzrosła o 0,74</w:t>
      </w:r>
      <w:r w:rsidRPr="00FF0857">
        <w:rPr>
          <w:rFonts w:asciiTheme="minorHAnsi" w:hAnsiTheme="minorHAnsi"/>
          <w:vertAlign w:val="superscript"/>
        </w:rPr>
        <w:t>o</w:t>
      </w:r>
      <w:r>
        <w:rPr>
          <w:rFonts w:asciiTheme="minorHAnsi" w:hAnsiTheme="minorHAnsi"/>
        </w:rPr>
        <w:t>C i nadal notuje się jej wzrost. Wzrostowi temperatury towarzyszy podnoszenie się poziomu morza. Poziom morza, który w latach 1961-2013 podnosił się średnio o 1,8 mm/rok, w latach w 1993-2003 wzrastał w tempie 3,1 mm/rok (</w:t>
      </w:r>
      <w:r w:rsidR="00F556C3" w:rsidRPr="00F556C3">
        <w:rPr>
          <w:rFonts w:asciiTheme="minorHAnsi" w:hAnsiTheme="minorHAnsi"/>
          <w:i/>
        </w:rPr>
        <w:t>źródło:</w:t>
      </w:r>
      <w:r w:rsidR="00F556C3">
        <w:rPr>
          <w:rFonts w:asciiTheme="minorHAnsi" w:hAnsiTheme="minorHAnsi"/>
          <w:i/>
        </w:rPr>
        <w:t xml:space="preserve"> </w:t>
      </w:r>
      <w:r w:rsidR="00817EEB">
        <w:rPr>
          <w:rFonts w:asciiTheme="minorHAnsi" w:hAnsiTheme="minorHAnsi"/>
          <w:i/>
        </w:rPr>
        <w:t>SPA2020</w:t>
      </w:r>
      <w:r>
        <w:rPr>
          <w:rFonts w:asciiTheme="minorHAnsi" w:hAnsiTheme="minorHAnsi"/>
        </w:rPr>
        <w:t>). Obserwacje obecnych zmian klimatu oraz scenariusze</w:t>
      </w:r>
      <w:r w:rsidR="00123795">
        <w:rPr>
          <w:rFonts w:asciiTheme="minorHAnsi" w:hAnsiTheme="minorHAnsi"/>
        </w:rPr>
        <w:t xml:space="preserve"> klimatyczne dla Polski do 2030</w:t>
      </w:r>
      <w:r>
        <w:rPr>
          <w:rFonts w:asciiTheme="minorHAnsi" w:hAnsiTheme="minorHAnsi"/>
        </w:rPr>
        <w:t>r. wykazują, że w tym okresie największ</w:t>
      </w:r>
      <w:r w:rsidR="00F556C3">
        <w:rPr>
          <w:rFonts w:asciiTheme="minorHAnsi" w:hAnsiTheme="minorHAnsi"/>
        </w:rPr>
        <w:t>ymi</w:t>
      </w:r>
      <w:r>
        <w:rPr>
          <w:rFonts w:asciiTheme="minorHAnsi" w:hAnsiTheme="minorHAnsi"/>
        </w:rPr>
        <w:t xml:space="preserve"> zagroże</w:t>
      </w:r>
      <w:r w:rsidR="00F556C3">
        <w:rPr>
          <w:rFonts w:asciiTheme="minorHAnsi" w:hAnsiTheme="minorHAnsi"/>
        </w:rPr>
        <w:t>niami</w:t>
      </w:r>
      <w:r>
        <w:rPr>
          <w:rFonts w:asciiTheme="minorHAnsi" w:hAnsiTheme="minorHAnsi"/>
        </w:rPr>
        <w:t xml:space="preserve"> dla społeczeństwa i gospodarki będą </w:t>
      </w:r>
      <w:r w:rsidR="00F556C3">
        <w:rPr>
          <w:rFonts w:asciiTheme="minorHAnsi" w:hAnsiTheme="minorHAnsi"/>
        </w:rPr>
        <w:t xml:space="preserve">ekstremalne zjawiska pogodowe, będące pochodnymi globalnych zmian. </w:t>
      </w:r>
      <w:r w:rsidR="00AE6268" w:rsidRPr="00AE6268">
        <w:rPr>
          <w:rFonts w:asciiTheme="minorHAnsi" w:hAnsiTheme="minorHAnsi"/>
        </w:rPr>
        <w:t xml:space="preserve">W Polsce </w:t>
      </w:r>
      <w:r w:rsidR="00AE6268">
        <w:rPr>
          <w:rFonts w:asciiTheme="minorHAnsi" w:hAnsiTheme="minorHAnsi"/>
        </w:rPr>
        <w:t>w latach 2001</w:t>
      </w:r>
      <w:r w:rsidR="00A91706">
        <w:rPr>
          <w:rFonts w:asciiTheme="minorHAnsi" w:hAnsiTheme="minorHAnsi"/>
        </w:rPr>
        <w:t>-</w:t>
      </w:r>
      <w:r w:rsidR="00AE6268">
        <w:rPr>
          <w:rFonts w:asciiTheme="minorHAnsi" w:hAnsiTheme="minorHAnsi"/>
        </w:rPr>
        <w:t xml:space="preserve">2011 w skutek </w:t>
      </w:r>
      <w:r w:rsidR="00F556C3">
        <w:rPr>
          <w:rFonts w:asciiTheme="minorHAnsi" w:hAnsiTheme="minorHAnsi"/>
        </w:rPr>
        <w:t xml:space="preserve">ekstremalnych </w:t>
      </w:r>
      <w:r w:rsidR="00AE6268">
        <w:rPr>
          <w:rFonts w:asciiTheme="minorHAnsi" w:hAnsiTheme="minorHAnsi"/>
        </w:rPr>
        <w:t>zjawisk pogodowych zarejestrowano straty w wysokości ponad 56 mld</w:t>
      </w:r>
      <w:r w:rsidR="00AE6268" w:rsidRPr="00214C70">
        <w:rPr>
          <w:rFonts w:asciiTheme="minorHAnsi" w:hAnsiTheme="minorHAnsi"/>
        </w:rPr>
        <w:t xml:space="preserve"> </w:t>
      </w:r>
      <w:r w:rsidR="00AE6268">
        <w:rPr>
          <w:rFonts w:asciiTheme="minorHAnsi" w:hAnsiTheme="minorHAnsi"/>
        </w:rPr>
        <w:t>złotych (koszty bezpośrednie). Szacuje się, że do 2020 roku</w:t>
      </w:r>
      <w:r>
        <w:rPr>
          <w:rFonts w:asciiTheme="minorHAnsi" w:hAnsiTheme="minorHAnsi"/>
        </w:rPr>
        <w:t>,</w:t>
      </w:r>
      <w:r w:rsidR="00AE6268">
        <w:rPr>
          <w:rFonts w:asciiTheme="minorHAnsi" w:hAnsiTheme="minorHAnsi"/>
        </w:rPr>
        <w:t xml:space="preserve"> </w:t>
      </w:r>
      <w:r w:rsidR="00237D47" w:rsidRPr="00123795">
        <w:rPr>
          <w:rFonts w:asciiTheme="minorHAnsi" w:hAnsiTheme="minorHAnsi"/>
        </w:rPr>
        <w:t xml:space="preserve">bez podjęcia działań adaptacyjnych, </w:t>
      </w:r>
      <w:r w:rsidR="00AE6268" w:rsidRPr="0003504E">
        <w:rPr>
          <w:rFonts w:asciiTheme="minorHAnsi" w:hAnsiTheme="minorHAnsi"/>
        </w:rPr>
        <w:t>straty te mogą wyn</w:t>
      </w:r>
      <w:r w:rsidR="00AE6268">
        <w:rPr>
          <w:rFonts w:asciiTheme="minorHAnsi" w:hAnsiTheme="minorHAnsi"/>
        </w:rPr>
        <w:t>ieść</w:t>
      </w:r>
      <w:r w:rsidR="00A573D9">
        <w:rPr>
          <w:rFonts w:asciiTheme="minorHAnsi" w:hAnsiTheme="minorHAnsi"/>
        </w:rPr>
        <w:t xml:space="preserve"> 86 mld złotych, a w latach 2021-2030 ponad 120 mld</w:t>
      </w:r>
      <w:r>
        <w:rPr>
          <w:rFonts w:asciiTheme="minorHAnsi" w:hAnsiTheme="minorHAnsi"/>
        </w:rPr>
        <w:t xml:space="preserve"> </w:t>
      </w:r>
      <w:r w:rsidR="00F556C3">
        <w:rPr>
          <w:rFonts w:asciiTheme="minorHAnsi" w:hAnsiTheme="minorHAnsi"/>
        </w:rPr>
        <w:t>(</w:t>
      </w:r>
      <w:r w:rsidR="00F556C3" w:rsidRPr="00F556C3">
        <w:rPr>
          <w:rFonts w:asciiTheme="minorHAnsi" w:hAnsiTheme="minorHAnsi"/>
          <w:i/>
        </w:rPr>
        <w:t>źródło:</w:t>
      </w:r>
      <w:r w:rsidR="00F556C3">
        <w:rPr>
          <w:rFonts w:asciiTheme="minorHAnsi" w:hAnsiTheme="minorHAnsi"/>
          <w:i/>
        </w:rPr>
        <w:t xml:space="preserve"> </w:t>
      </w:r>
      <w:r w:rsidR="00817EEB">
        <w:rPr>
          <w:rFonts w:asciiTheme="minorHAnsi" w:hAnsiTheme="minorHAnsi"/>
          <w:i/>
        </w:rPr>
        <w:t>SPA2020)</w:t>
      </w:r>
      <w:r>
        <w:rPr>
          <w:rFonts w:asciiTheme="minorHAnsi" w:hAnsiTheme="minorHAnsi"/>
        </w:rPr>
        <w:t>.</w:t>
      </w:r>
    </w:p>
    <w:p w14:paraId="5CC2D51A" w14:textId="77777777" w:rsidR="00AA1FC1" w:rsidRPr="00214C70" w:rsidRDefault="00AA1FC1" w:rsidP="00FC5701">
      <w:pPr>
        <w:pStyle w:val="Domylne"/>
        <w:spacing w:before="120" w:after="120" w:line="276" w:lineRule="auto"/>
        <w:outlineLvl w:val="0"/>
        <w:rPr>
          <w:rFonts w:asciiTheme="minorHAnsi" w:eastAsia="Helvetica" w:hAnsiTheme="minorHAnsi" w:cs="Calibri"/>
          <w:b/>
        </w:rPr>
      </w:pPr>
      <w:r w:rsidRPr="00214C70">
        <w:rPr>
          <w:rFonts w:asciiTheme="minorHAnsi" w:eastAsia="Helvetica" w:hAnsiTheme="minorHAnsi" w:cs="Calibri"/>
          <w:b/>
        </w:rPr>
        <w:t>Dlaczego miasta?</w:t>
      </w:r>
    </w:p>
    <w:p w14:paraId="397624C8" w14:textId="77777777" w:rsidR="0095203A" w:rsidRPr="00C631A6" w:rsidRDefault="00584686" w:rsidP="0095203A">
      <w:pPr>
        <w:pStyle w:val="Domylne"/>
        <w:spacing w:after="80" w:line="276" w:lineRule="auto"/>
        <w:jc w:val="both"/>
        <w:rPr>
          <w:rFonts w:asciiTheme="minorHAnsi" w:hAnsiTheme="minorHAnsi" w:cs="Calibri"/>
        </w:rPr>
      </w:pPr>
      <w:r>
        <w:rPr>
          <w:rFonts w:asciiTheme="minorHAnsi" w:eastAsia="Helvetica" w:hAnsiTheme="minorHAnsi" w:cs="Calibri"/>
        </w:rPr>
        <w:t>Z</w:t>
      </w:r>
      <w:r w:rsidR="0095203A">
        <w:rPr>
          <w:rFonts w:asciiTheme="minorHAnsi" w:eastAsia="Helvetica" w:hAnsiTheme="minorHAnsi" w:cs="Calibri"/>
        </w:rPr>
        <w:t>jawiska</w:t>
      </w:r>
      <w:r>
        <w:rPr>
          <w:rFonts w:asciiTheme="minorHAnsi" w:eastAsia="Helvetica" w:hAnsiTheme="minorHAnsi" w:cs="Calibri"/>
        </w:rPr>
        <w:t>mi</w:t>
      </w:r>
      <w:r w:rsidR="0095203A">
        <w:rPr>
          <w:rFonts w:asciiTheme="minorHAnsi" w:eastAsia="Helvetica" w:hAnsiTheme="minorHAnsi" w:cs="Calibri"/>
        </w:rPr>
        <w:t xml:space="preserve"> klimatyczn</w:t>
      </w:r>
      <w:r>
        <w:rPr>
          <w:rFonts w:asciiTheme="minorHAnsi" w:eastAsia="Helvetica" w:hAnsiTheme="minorHAnsi" w:cs="Calibri"/>
        </w:rPr>
        <w:t>ymi</w:t>
      </w:r>
      <w:r w:rsidR="0095203A">
        <w:rPr>
          <w:rFonts w:asciiTheme="minorHAnsi" w:eastAsia="Helvetica" w:hAnsiTheme="minorHAnsi" w:cs="Calibri"/>
        </w:rPr>
        <w:t>, taki</w:t>
      </w:r>
      <w:r>
        <w:rPr>
          <w:rFonts w:asciiTheme="minorHAnsi" w:eastAsia="Helvetica" w:hAnsiTheme="minorHAnsi" w:cs="Calibri"/>
        </w:rPr>
        <w:t>mi</w:t>
      </w:r>
      <w:r w:rsidR="0095203A">
        <w:rPr>
          <w:rFonts w:asciiTheme="minorHAnsi" w:eastAsia="Helvetica" w:hAnsiTheme="minorHAnsi" w:cs="Calibri"/>
        </w:rPr>
        <w:t xml:space="preserve"> jak </w:t>
      </w:r>
      <w:r w:rsidR="0095203A" w:rsidRPr="00237D47">
        <w:rPr>
          <w:rFonts w:asciiTheme="minorHAnsi" w:eastAsia="Helvetica" w:hAnsiTheme="minorHAnsi" w:cs="Calibri"/>
        </w:rPr>
        <w:t>ekstremalne temperatury, fale upałów, deszcze nawalne</w:t>
      </w:r>
      <w:r w:rsidR="0095203A">
        <w:rPr>
          <w:rFonts w:asciiTheme="minorHAnsi" w:eastAsia="Helvetica" w:hAnsiTheme="minorHAnsi" w:cs="Calibri"/>
        </w:rPr>
        <w:t xml:space="preserve"> i związane z nimi podtopienia, a także powodzie</w:t>
      </w:r>
      <w:r w:rsidR="0095203A" w:rsidRPr="00237D47">
        <w:rPr>
          <w:rFonts w:asciiTheme="minorHAnsi" w:eastAsia="Helvetica" w:hAnsiTheme="minorHAnsi" w:cs="Calibri"/>
        </w:rPr>
        <w:t xml:space="preserve"> </w:t>
      </w:r>
      <w:r>
        <w:rPr>
          <w:rFonts w:asciiTheme="minorHAnsi" w:eastAsia="Helvetica" w:hAnsiTheme="minorHAnsi" w:cs="Calibri"/>
        </w:rPr>
        <w:t>szczególnie zagrożone</w:t>
      </w:r>
      <w:r w:rsidR="0095203A">
        <w:rPr>
          <w:rFonts w:asciiTheme="minorHAnsi" w:eastAsia="Helvetica" w:hAnsiTheme="minorHAnsi" w:cs="Calibri"/>
        </w:rPr>
        <w:t xml:space="preserve"> są d</w:t>
      </w:r>
      <w:r w:rsidR="00237D47" w:rsidRPr="00237D47">
        <w:rPr>
          <w:rFonts w:asciiTheme="minorHAnsi" w:eastAsia="Helvetica" w:hAnsiTheme="minorHAnsi" w:cs="Calibri"/>
        </w:rPr>
        <w:t xml:space="preserve">uże miasta i obszary metropolitalne ze względu na koncentrację ludności, zabudowy i </w:t>
      </w:r>
      <w:r w:rsidR="0095203A" w:rsidRPr="00237D47">
        <w:rPr>
          <w:rFonts w:asciiTheme="minorHAnsi" w:eastAsia="Helvetica" w:hAnsiTheme="minorHAnsi" w:cs="Calibri"/>
        </w:rPr>
        <w:t>infrastruktury</w:t>
      </w:r>
      <w:r w:rsidR="0095203A">
        <w:rPr>
          <w:rFonts w:asciiTheme="minorHAnsi" w:eastAsia="Helvetica" w:hAnsiTheme="minorHAnsi" w:cs="Calibri"/>
        </w:rPr>
        <w:t>.</w:t>
      </w:r>
      <w:r w:rsidR="0095203A" w:rsidRPr="00214C70">
        <w:rPr>
          <w:rFonts w:asciiTheme="minorHAnsi" w:eastAsia="Helvetica" w:hAnsiTheme="minorHAnsi" w:cs="Calibri"/>
        </w:rPr>
        <w:t xml:space="preserve"> </w:t>
      </w:r>
      <w:r w:rsidR="0095203A">
        <w:rPr>
          <w:rFonts w:asciiTheme="minorHAnsi" w:eastAsia="Helvetica" w:hAnsiTheme="minorHAnsi" w:cs="Calibri"/>
        </w:rPr>
        <w:t>O</w:t>
      </w:r>
      <w:r w:rsidR="0095203A" w:rsidRPr="00214C70">
        <w:rPr>
          <w:rFonts w:asciiTheme="minorHAnsi" w:eastAsia="Helvetica" w:hAnsiTheme="minorHAnsi" w:cs="Calibri"/>
        </w:rPr>
        <w:t>becnie</w:t>
      </w:r>
      <w:r w:rsidR="00AA1FC1" w:rsidRPr="00214C70">
        <w:rPr>
          <w:rFonts w:asciiTheme="minorHAnsi" w:eastAsia="Helvetica" w:hAnsiTheme="minorHAnsi" w:cs="Calibri"/>
        </w:rPr>
        <w:t xml:space="preserve"> ludność polskich miast ocenia się na około 23,3 mln osób, co stanowi ponad 60% populacji kraju.</w:t>
      </w:r>
      <w:r w:rsidR="0095203A" w:rsidRPr="0095203A">
        <w:rPr>
          <w:rFonts w:asciiTheme="minorHAnsi" w:hAnsiTheme="minorHAnsi" w:cs="Calibri"/>
        </w:rPr>
        <w:t xml:space="preserve"> </w:t>
      </w:r>
      <w:r w:rsidR="00C21D1B">
        <w:rPr>
          <w:rFonts w:asciiTheme="minorHAnsi" w:hAnsiTheme="minorHAnsi" w:cs="Calibri"/>
        </w:rPr>
        <w:t>P</w:t>
      </w:r>
      <w:r w:rsidR="00A76EFF">
        <w:rPr>
          <w:rFonts w:asciiTheme="minorHAnsi" w:hAnsiTheme="minorHAnsi" w:cs="Calibri"/>
        </w:rPr>
        <w:t>rzewiduje się, że p</w:t>
      </w:r>
      <w:r w:rsidR="0095203A" w:rsidRPr="00C631A6">
        <w:rPr>
          <w:rFonts w:asciiTheme="minorHAnsi" w:hAnsiTheme="minorHAnsi" w:cs="Calibri"/>
        </w:rPr>
        <w:t>rognozowany wzrost wysokiej temperatury powietrza na obszarach silnie zurbanizowanych, obniży jakość życia i wpłynie negatywnie na zdrowie mieszkańców.</w:t>
      </w:r>
      <w:r w:rsidR="00A76EFF">
        <w:rPr>
          <w:rFonts w:asciiTheme="minorHAnsi" w:hAnsiTheme="minorHAnsi" w:cs="Calibri"/>
        </w:rPr>
        <w:t xml:space="preserve"> </w:t>
      </w:r>
      <w:r w:rsidR="008A4732">
        <w:rPr>
          <w:rFonts w:asciiTheme="minorHAnsi" w:hAnsiTheme="minorHAnsi" w:cs="Calibri"/>
        </w:rPr>
        <w:t>Grupami narażonymi są</w:t>
      </w:r>
      <w:r w:rsidR="00A76EFF" w:rsidRPr="00C631A6">
        <w:rPr>
          <w:rFonts w:asciiTheme="minorHAnsi" w:hAnsiTheme="minorHAnsi" w:cs="Calibri"/>
        </w:rPr>
        <w:t xml:space="preserve"> osoby </w:t>
      </w:r>
      <w:r w:rsidR="00A76EFF" w:rsidRPr="00C631A6">
        <w:rPr>
          <w:rFonts w:asciiTheme="minorHAnsi" w:hAnsiTheme="minorHAnsi" w:cs="Calibri"/>
        </w:rPr>
        <w:lastRenderedPageBreak/>
        <w:t>starsze (powyżej 65 lat), małe dzieci, osoby chore na choroby układu odd</w:t>
      </w:r>
      <w:r w:rsidR="008A4732">
        <w:rPr>
          <w:rFonts w:asciiTheme="minorHAnsi" w:hAnsiTheme="minorHAnsi" w:cs="Calibri"/>
        </w:rPr>
        <w:t>echowego, sercowo-naczyniowego</w:t>
      </w:r>
      <w:r w:rsidR="00A76EFF" w:rsidRPr="00C631A6">
        <w:rPr>
          <w:rFonts w:asciiTheme="minorHAnsi" w:hAnsiTheme="minorHAnsi" w:cs="Calibri"/>
        </w:rPr>
        <w:t xml:space="preserve">, a także </w:t>
      </w:r>
      <w:r w:rsidR="008A4732">
        <w:rPr>
          <w:rFonts w:asciiTheme="minorHAnsi" w:hAnsiTheme="minorHAnsi" w:cs="Calibri"/>
        </w:rPr>
        <w:t xml:space="preserve">osoby </w:t>
      </w:r>
      <w:r w:rsidR="00A76EFF" w:rsidRPr="00C631A6">
        <w:rPr>
          <w:rFonts w:asciiTheme="minorHAnsi" w:hAnsiTheme="minorHAnsi" w:cs="Calibri"/>
        </w:rPr>
        <w:t>bezdomn</w:t>
      </w:r>
      <w:r w:rsidR="008A4732">
        <w:rPr>
          <w:rFonts w:asciiTheme="minorHAnsi" w:hAnsiTheme="minorHAnsi" w:cs="Calibri"/>
        </w:rPr>
        <w:t>e</w:t>
      </w:r>
      <w:r w:rsidR="00A76EFF" w:rsidRPr="00C631A6">
        <w:rPr>
          <w:rFonts w:asciiTheme="minorHAnsi" w:hAnsiTheme="minorHAnsi" w:cs="Calibri"/>
        </w:rPr>
        <w:t>.</w:t>
      </w:r>
      <w:r w:rsidR="00C21D1B">
        <w:rPr>
          <w:rFonts w:asciiTheme="minorHAnsi" w:hAnsiTheme="minorHAnsi" w:cs="Calibri"/>
        </w:rPr>
        <w:t xml:space="preserve"> </w:t>
      </w:r>
    </w:p>
    <w:p w14:paraId="046DDA70" w14:textId="77777777" w:rsidR="00A76EFF" w:rsidRDefault="00A76EFF" w:rsidP="00A76EFF">
      <w:pPr>
        <w:pStyle w:val="Domylne"/>
        <w:spacing w:after="120" w:line="276" w:lineRule="auto"/>
        <w:jc w:val="both"/>
        <w:rPr>
          <w:rFonts w:asciiTheme="minorHAnsi" w:eastAsia="Helvetica" w:hAnsiTheme="minorHAnsi" w:cs="Calibri"/>
        </w:rPr>
      </w:pPr>
      <w:r>
        <w:rPr>
          <w:rFonts w:asciiTheme="minorHAnsi" w:eastAsia="Helvetica" w:hAnsiTheme="minorHAnsi" w:cs="Calibri"/>
        </w:rPr>
        <w:t>Z</w:t>
      </w:r>
      <w:r w:rsidRPr="00214C70">
        <w:rPr>
          <w:rFonts w:asciiTheme="minorHAnsi" w:eastAsia="Helvetica" w:hAnsiTheme="minorHAnsi" w:cs="Calibri"/>
        </w:rPr>
        <w:t xml:space="preserve">miany klimatu będą miały </w:t>
      </w:r>
      <w:r w:rsidR="00C21D1B">
        <w:rPr>
          <w:rFonts w:asciiTheme="minorHAnsi" w:eastAsia="Helvetica" w:hAnsiTheme="minorHAnsi" w:cs="Calibri"/>
        </w:rPr>
        <w:t>wpływ na</w:t>
      </w:r>
      <w:r w:rsidR="00C21D1B" w:rsidRPr="00214C70">
        <w:rPr>
          <w:rFonts w:asciiTheme="minorHAnsi" w:eastAsia="Helvetica" w:hAnsiTheme="minorHAnsi" w:cs="Calibri"/>
        </w:rPr>
        <w:t xml:space="preserve"> jakość życia ich mieszkańców</w:t>
      </w:r>
      <w:r w:rsidR="00C21D1B">
        <w:rPr>
          <w:rFonts w:asciiTheme="minorHAnsi" w:eastAsia="Helvetica" w:hAnsiTheme="minorHAnsi" w:cs="Calibri"/>
        </w:rPr>
        <w:t>, ale także</w:t>
      </w:r>
      <w:r w:rsidR="00C21D1B" w:rsidRPr="00214C70">
        <w:rPr>
          <w:rFonts w:asciiTheme="minorHAnsi" w:eastAsia="Helvetica" w:hAnsiTheme="minorHAnsi" w:cs="Calibri"/>
        </w:rPr>
        <w:t xml:space="preserve"> </w:t>
      </w:r>
      <w:r w:rsidR="00C21D1B">
        <w:rPr>
          <w:rFonts w:asciiTheme="minorHAnsi" w:eastAsia="Helvetica" w:hAnsiTheme="minorHAnsi" w:cs="Calibri"/>
        </w:rPr>
        <w:t>na dynamikę rozwoju miast i</w:t>
      </w:r>
      <w:r w:rsidRPr="00214C70">
        <w:rPr>
          <w:rFonts w:asciiTheme="minorHAnsi" w:eastAsia="Helvetica" w:hAnsiTheme="minorHAnsi" w:cs="Calibri"/>
        </w:rPr>
        <w:t xml:space="preserve"> </w:t>
      </w:r>
      <w:r w:rsidR="00C21D1B">
        <w:rPr>
          <w:rFonts w:asciiTheme="minorHAnsi" w:eastAsia="Helvetica" w:hAnsiTheme="minorHAnsi" w:cs="Calibri"/>
        </w:rPr>
        <w:t>ich kondycję ekonomiczną</w:t>
      </w:r>
      <w:r w:rsidRPr="00214C70">
        <w:rPr>
          <w:rFonts w:asciiTheme="minorHAnsi" w:eastAsia="Helvetica" w:hAnsiTheme="minorHAnsi" w:cs="Calibri"/>
        </w:rPr>
        <w:t xml:space="preserve">. </w:t>
      </w:r>
    </w:p>
    <w:p w14:paraId="05619CA2" w14:textId="77777777" w:rsidR="00287107" w:rsidRDefault="00287107" w:rsidP="00FC5701">
      <w:pPr>
        <w:pStyle w:val="Domylne"/>
        <w:spacing w:before="120" w:after="120" w:line="276" w:lineRule="auto"/>
        <w:outlineLvl w:val="0"/>
        <w:rPr>
          <w:rFonts w:asciiTheme="minorHAnsi" w:eastAsia="Helvetica" w:hAnsiTheme="minorHAnsi" w:cs="Calibri"/>
          <w:b/>
        </w:rPr>
      </w:pPr>
      <w:r w:rsidRPr="00287107">
        <w:rPr>
          <w:rFonts w:asciiTheme="minorHAnsi" w:eastAsia="Helvetica" w:hAnsiTheme="minorHAnsi" w:cs="Calibri"/>
          <w:b/>
        </w:rPr>
        <w:t>Co to jest adaptacj</w:t>
      </w:r>
      <w:r w:rsidR="00C21D1B">
        <w:rPr>
          <w:rFonts w:asciiTheme="minorHAnsi" w:eastAsia="Helvetica" w:hAnsiTheme="minorHAnsi" w:cs="Calibri"/>
          <w:b/>
        </w:rPr>
        <w:t>a</w:t>
      </w:r>
      <w:r w:rsidRPr="00287107">
        <w:rPr>
          <w:rFonts w:asciiTheme="minorHAnsi" w:eastAsia="Helvetica" w:hAnsiTheme="minorHAnsi" w:cs="Calibri"/>
          <w:b/>
        </w:rPr>
        <w:t>?</w:t>
      </w:r>
    </w:p>
    <w:p w14:paraId="0CC2B132" w14:textId="77777777" w:rsidR="00287107" w:rsidRPr="00287107" w:rsidRDefault="00287107" w:rsidP="00214C70">
      <w:pPr>
        <w:pStyle w:val="Domylne"/>
        <w:spacing w:after="120" w:line="276" w:lineRule="auto"/>
        <w:jc w:val="both"/>
        <w:rPr>
          <w:rFonts w:asciiTheme="minorHAnsi" w:eastAsia="Helvetica" w:hAnsiTheme="minorHAnsi" w:cs="Calibri"/>
        </w:rPr>
      </w:pPr>
      <w:r w:rsidRPr="00287107">
        <w:rPr>
          <w:rFonts w:asciiTheme="minorHAnsi" w:eastAsia="Helvetica" w:hAnsiTheme="minorHAnsi" w:cs="Calibri"/>
        </w:rPr>
        <w:t xml:space="preserve">Adaptacja </w:t>
      </w:r>
      <w:r>
        <w:rPr>
          <w:rFonts w:asciiTheme="minorHAnsi" w:eastAsia="Helvetica" w:hAnsiTheme="minorHAnsi" w:cs="Calibri"/>
        </w:rPr>
        <w:t xml:space="preserve">to proces </w:t>
      </w:r>
      <w:r w:rsidR="00817EEB">
        <w:rPr>
          <w:rFonts w:asciiTheme="minorHAnsi" w:eastAsia="Helvetica" w:hAnsiTheme="minorHAnsi" w:cs="Calibri"/>
        </w:rPr>
        <w:t>dostosowywania się do obecnych i</w:t>
      </w:r>
      <w:r>
        <w:rPr>
          <w:rFonts w:asciiTheme="minorHAnsi" w:eastAsia="Helvetica" w:hAnsiTheme="minorHAnsi" w:cs="Calibri"/>
        </w:rPr>
        <w:t xml:space="preserve"> oczekiwanych warunków klimatycznych </w:t>
      </w:r>
      <w:r w:rsidR="00817EEB">
        <w:rPr>
          <w:rFonts w:asciiTheme="minorHAnsi" w:eastAsia="Helvetica" w:hAnsiTheme="minorHAnsi" w:cs="Calibri"/>
        </w:rPr>
        <w:t>oraz</w:t>
      </w:r>
      <w:r>
        <w:rPr>
          <w:rFonts w:asciiTheme="minorHAnsi" w:eastAsia="Helvetica" w:hAnsiTheme="minorHAnsi" w:cs="Calibri"/>
        </w:rPr>
        <w:t xml:space="preserve"> ich skutków w celu zmniejszenia lub uniknięcia negatywnych konsekwencji lub zwiększenia korzyści z nich wynikających. Adaptacja to zwiększanie odporności społeczeństwa i gospodarki na negatywne skutki zmian klimatu.</w:t>
      </w:r>
      <w:r w:rsidR="00987330">
        <w:rPr>
          <w:rFonts w:asciiTheme="minorHAnsi" w:eastAsia="Helvetica" w:hAnsiTheme="minorHAnsi" w:cs="Calibri"/>
        </w:rPr>
        <w:t xml:space="preserve"> </w:t>
      </w:r>
    </w:p>
    <w:p w14:paraId="24148370" w14:textId="77777777" w:rsidR="00AA1FC1" w:rsidRPr="007F4E3E" w:rsidRDefault="00AA1FC1" w:rsidP="007F4E3E">
      <w:pPr>
        <w:pStyle w:val="Domylne"/>
        <w:spacing w:after="120" w:line="276" w:lineRule="auto"/>
        <w:jc w:val="both"/>
        <w:rPr>
          <w:rFonts w:asciiTheme="minorHAnsi" w:eastAsia="Helvetica" w:hAnsiTheme="minorHAnsi" w:cs="Calibri"/>
          <w:b/>
        </w:rPr>
      </w:pPr>
      <w:r w:rsidRPr="007F4E3E">
        <w:rPr>
          <w:rFonts w:asciiTheme="minorHAnsi" w:eastAsia="Helvetica" w:hAnsiTheme="minorHAnsi" w:cs="Calibri"/>
          <w:b/>
        </w:rPr>
        <w:t>Jak to zrobimy?</w:t>
      </w:r>
    </w:p>
    <w:p w14:paraId="420322F9" w14:textId="77777777" w:rsidR="00214C70" w:rsidRPr="007F4E3E" w:rsidRDefault="00AA1FC1" w:rsidP="007F4E3E">
      <w:pPr>
        <w:pStyle w:val="Domylne"/>
        <w:spacing w:after="120" w:line="276" w:lineRule="auto"/>
        <w:jc w:val="both"/>
        <w:rPr>
          <w:rFonts w:asciiTheme="minorHAnsi" w:eastAsia="Helvetica" w:hAnsiTheme="minorHAnsi" w:cs="Calibri"/>
        </w:rPr>
      </w:pPr>
      <w:r w:rsidRPr="007F4E3E">
        <w:rPr>
          <w:rFonts w:asciiTheme="minorHAnsi" w:eastAsia="Helvetica" w:hAnsiTheme="minorHAnsi" w:cs="Calibri"/>
        </w:rPr>
        <w:t xml:space="preserve">Eksperci Konsorcjum zgromadzą dane i przeprowadzą specjalistyczne analizy. Cały proces przygotowania Miejskich Planów Adaptacji (MPA) będzie realizowany we współpracy z władzami miast oraz przy udziale i zaangażowaniu </w:t>
      </w:r>
      <w:r w:rsidR="00237D47" w:rsidRPr="007F4E3E">
        <w:rPr>
          <w:rFonts w:asciiTheme="minorHAnsi" w:eastAsia="Helvetica" w:hAnsiTheme="minorHAnsi" w:cs="Calibri"/>
        </w:rPr>
        <w:t>interesariuszy</w:t>
      </w:r>
      <w:r w:rsidRPr="007F4E3E">
        <w:rPr>
          <w:rFonts w:asciiTheme="minorHAnsi" w:eastAsia="Helvetica" w:hAnsiTheme="minorHAnsi" w:cs="Calibri"/>
        </w:rPr>
        <w:t xml:space="preserve">. </w:t>
      </w:r>
      <w:r w:rsidR="007F4E3E">
        <w:rPr>
          <w:rFonts w:asciiTheme="minorHAnsi" w:eastAsia="Helvetica" w:hAnsiTheme="minorHAnsi" w:cs="Calibri"/>
        </w:rPr>
        <w:t>W</w:t>
      </w:r>
      <w:r w:rsidRPr="007F4E3E">
        <w:rPr>
          <w:rFonts w:asciiTheme="minorHAnsi" w:eastAsia="Helvetica" w:hAnsiTheme="minorHAnsi" w:cs="Calibri"/>
        </w:rPr>
        <w:t xml:space="preserve"> każd</w:t>
      </w:r>
      <w:r w:rsidR="007F4E3E">
        <w:rPr>
          <w:rFonts w:asciiTheme="minorHAnsi" w:eastAsia="Helvetica" w:hAnsiTheme="minorHAnsi" w:cs="Calibri"/>
        </w:rPr>
        <w:t xml:space="preserve">ym z miast zidentyfikowane </w:t>
      </w:r>
      <w:r w:rsidRPr="007F4E3E">
        <w:rPr>
          <w:rFonts w:asciiTheme="minorHAnsi" w:eastAsia="Helvetica" w:hAnsiTheme="minorHAnsi" w:cs="Calibri"/>
        </w:rPr>
        <w:t>zostaną cztery obszary lub sektory wrażliwe na skutki ekstre</w:t>
      </w:r>
      <w:r w:rsidR="007F4E3E">
        <w:rPr>
          <w:rFonts w:asciiTheme="minorHAnsi" w:eastAsia="Helvetica" w:hAnsiTheme="minorHAnsi" w:cs="Calibri"/>
        </w:rPr>
        <w:t>malnych zjawisk atmosferycznych</w:t>
      </w:r>
      <w:r w:rsidRPr="007F4E3E">
        <w:rPr>
          <w:rFonts w:asciiTheme="minorHAnsi" w:eastAsia="Helvetica" w:hAnsiTheme="minorHAnsi" w:cs="Calibri"/>
        </w:rPr>
        <w:t>. Dla tych sektorów lub obszarów</w:t>
      </w:r>
      <w:r w:rsidR="007F4E3E">
        <w:rPr>
          <w:rFonts w:asciiTheme="minorHAnsi" w:eastAsia="Helvetica" w:hAnsiTheme="minorHAnsi" w:cs="Calibri"/>
        </w:rPr>
        <w:t>,</w:t>
      </w:r>
      <w:r w:rsidRPr="007F4E3E">
        <w:rPr>
          <w:rFonts w:asciiTheme="minorHAnsi" w:eastAsia="Helvetica" w:hAnsiTheme="minorHAnsi" w:cs="Calibri"/>
        </w:rPr>
        <w:t xml:space="preserve"> </w:t>
      </w:r>
      <w:r w:rsidR="007F4E3E">
        <w:rPr>
          <w:rFonts w:asciiTheme="minorHAnsi" w:eastAsia="Helvetica" w:hAnsiTheme="minorHAnsi" w:cs="Calibri"/>
        </w:rPr>
        <w:t xml:space="preserve">adekwatnie do stwierdzonych zagrożeń </w:t>
      </w:r>
      <w:r w:rsidRPr="007F4E3E">
        <w:rPr>
          <w:rFonts w:asciiTheme="minorHAnsi" w:eastAsia="Helvetica" w:hAnsiTheme="minorHAnsi" w:cs="Calibri"/>
        </w:rPr>
        <w:t>przygotowane zostaną pakiety działań (inwestycyjnych, technicznych, organizacyjnych, edukacyjnych</w:t>
      </w:r>
      <w:r w:rsidR="007F4E3E">
        <w:rPr>
          <w:rFonts w:asciiTheme="minorHAnsi" w:eastAsia="Helvetica" w:hAnsiTheme="minorHAnsi" w:cs="Calibri"/>
        </w:rPr>
        <w:t>).</w:t>
      </w:r>
      <w:r w:rsidRPr="007F4E3E">
        <w:rPr>
          <w:rFonts w:asciiTheme="minorHAnsi" w:eastAsia="Helvetica" w:hAnsiTheme="minorHAnsi" w:cs="Calibri"/>
        </w:rPr>
        <w:t xml:space="preserve"> </w:t>
      </w:r>
    </w:p>
    <w:p w14:paraId="0D6188A5" w14:textId="77777777" w:rsidR="00AA1FC1" w:rsidRPr="007F4E3E" w:rsidRDefault="00AA1FC1" w:rsidP="007F4E3E">
      <w:pPr>
        <w:pStyle w:val="Domylne"/>
        <w:spacing w:after="120" w:line="276" w:lineRule="auto"/>
        <w:jc w:val="both"/>
        <w:rPr>
          <w:rFonts w:asciiTheme="minorHAnsi" w:eastAsia="Helvetica" w:hAnsiTheme="minorHAnsi" w:cs="Calibri"/>
          <w:b/>
        </w:rPr>
      </w:pPr>
      <w:r w:rsidRPr="007F4E3E">
        <w:rPr>
          <w:rFonts w:asciiTheme="minorHAnsi" w:eastAsia="Helvetica" w:hAnsiTheme="minorHAnsi" w:cs="Calibri"/>
          <w:b/>
        </w:rPr>
        <w:t>Jakie będą rezultaty projektu?</w:t>
      </w:r>
    </w:p>
    <w:p w14:paraId="71C3E1C7" w14:textId="77777777" w:rsidR="00AA1FC1" w:rsidRDefault="00AA1FC1" w:rsidP="00214C70">
      <w:pPr>
        <w:tabs>
          <w:tab w:val="num" w:pos="720"/>
        </w:tabs>
        <w:spacing w:after="80" w:line="276" w:lineRule="auto"/>
        <w:jc w:val="both"/>
        <w:rPr>
          <w:rFonts w:asciiTheme="minorHAnsi" w:hAnsiTheme="minorHAnsi" w:cs="Calibri"/>
          <w:bCs/>
          <w:sz w:val="22"/>
          <w:szCs w:val="22"/>
          <w:lang w:val="pl-PL"/>
        </w:rPr>
      </w:pPr>
      <w:r w:rsidRPr="00214C70">
        <w:rPr>
          <w:rFonts w:asciiTheme="minorHAnsi" w:hAnsiTheme="minorHAnsi" w:cs="Calibri"/>
          <w:bCs/>
          <w:sz w:val="22"/>
          <w:szCs w:val="22"/>
          <w:lang w:val="pl-PL"/>
        </w:rPr>
        <w:t xml:space="preserve">Lokalne samorządy otrzymają </w:t>
      </w:r>
      <w:r w:rsidR="007F4E3E">
        <w:rPr>
          <w:rFonts w:asciiTheme="minorHAnsi" w:hAnsiTheme="minorHAnsi" w:cs="Calibri"/>
          <w:bCs/>
          <w:sz w:val="22"/>
          <w:szCs w:val="22"/>
          <w:lang w:val="pl-PL"/>
        </w:rPr>
        <w:t>dokument, w którym z</w:t>
      </w:r>
      <w:r w:rsidRPr="00214C70">
        <w:rPr>
          <w:rFonts w:asciiTheme="minorHAnsi" w:hAnsiTheme="minorHAnsi" w:cs="Calibri"/>
          <w:bCs/>
          <w:sz w:val="22"/>
          <w:szCs w:val="22"/>
          <w:lang w:val="pl-PL"/>
        </w:rPr>
        <w:t>identyfik</w:t>
      </w:r>
      <w:r w:rsidR="007F4E3E">
        <w:rPr>
          <w:rFonts w:asciiTheme="minorHAnsi" w:hAnsiTheme="minorHAnsi" w:cs="Calibri"/>
          <w:bCs/>
          <w:sz w:val="22"/>
          <w:szCs w:val="22"/>
          <w:lang w:val="pl-PL"/>
        </w:rPr>
        <w:t>owane zostaną</w:t>
      </w:r>
      <w:r w:rsidRPr="00214C70">
        <w:rPr>
          <w:rFonts w:asciiTheme="minorHAnsi" w:hAnsiTheme="minorHAnsi" w:cs="Calibri"/>
          <w:bCs/>
          <w:sz w:val="22"/>
          <w:szCs w:val="22"/>
          <w:lang w:val="pl-PL"/>
        </w:rPr>
        <w:t xml:space="preserve"> najpoważniejsz</w:t>
      </w:r>
      <w:r w:rsidR="007F4E3E">
        <w:rPr>
          <w:rFonts w:asciiTheme="minorHAnsi" w:hAnsiTheme="minorHAnsi" w:cs="Calibri"/>
          <w:bCs/>
          <w:sz w:val="22"/>
          <w:szCs w:val="22"/>
          <w:lang w:val="pl-PL"/>
        </w:rPr>
        <w:t>e zagrożenia</w:t>
      </w:r>
      <w:r w:rsidRPr="00214C70">
        <w:rPr>
          <w:rFonts w:asciiTheme="minorHAnsi" w:hAnsiTheme="minorHAnsi" w:cs="Calibri"/>
          <w:bCs/>
          <w:sz w:val="22"/>
          <w:szCs w:val="22"/>
          <w:lang w:val="pl-PL"/>
        </w:rPr>
        <w:t xml:space="preserve"> związan</w:t>
      </w:r>
      <w:r w:rsidR="007F4E3E">
        <w:rPr>
          <w:rFonts w:asciiTheme="minorHAnsi" w:hAnsiTheme="minorHAnsi" w:cs="Calibri"/>
          <w:bCs/>
          <w:sz w:val="22"/>
          <w:szCs w:val="22"/>
          <w:lang w:val="pl-PL"/>
        </w:rPr>
        <w:t>e</w:t>
      </w:r>
      <w:r w:rsidRPr="00214C70">
        <w:rPr>
          <w:rFonts w:asciiTheme="minorHAnsi" w:hAnsiTheme="minorHAnsi" w:cs="Calibri"/>
          <w:bCs/>
          <w:sz w:val="22"/>
          <w:szCs w:val="22"/>
          <w:lang w:val="pl-PL"/>
        </w:rPr>
        <w:t xml:space="preserve"> ze zmianami klimatu </w:t>
      </w:r>
      <w:r w:rsidR="007F4E3E">
        <w:rPr>
          <w:rFonts w:asciiTheme="minorHAnsi" w:hAnsiTheme="minorHAnsi" w:cs="Calibri"/>
          <w:bCs/>
          <w:sz w:val="22"/>
          <w:szCs w:val="22"/>
          <w:lang w:val="pl-PL"/>
        </w:rPr>
        <w:t>oraz wskazany zostanie</w:t>
      </w:r>
      <w:r w:rsidRPr="00214C70">
        <w:rPr>
          <w:rFonts w:asciiTheme="minorHAnsi" w:hAnsiTheme="minorHAnsi" w:cs="Calibri"/>
          <w:bCs/>
          <w:sz w:val="22"/>
          <w:szCs w:val="22"/>
          <w:lang w:val="pl-PL"/>
        </w:rPr>
        <w:t xml:space="preserve"> pakiet wyselekcjonowanych </w:t>
      </w:r>
      <w:r w:rsidR="000630A5">
        <w:rPr>
          <w:rFonts w:asciiTheme="minorHAnsi" w:hAnsiTheme="minorHAnsi" w:cs="Calibri"/>
          <w:bCs/>
          <w:sz w:val="22"/>
          <w:szCs w:val="22"/>
          <w:lang w:val="pl-PL"/>
        </w:rPr>
        <w:t xml:space="preserve">sugerowanych </w:t>
      </w:r>
      <w:r w:rsidRPr="00214C70">
        <w:rPr>
          <w:rFonts w:asciiTheme="minorHAnsi" w:hAnsiTheme="minorHAnsi" w:cs="Calibri"/>
          <w:bCs/>
          <w:sz w:val="22"/>
          <w:szCs w:val="22"/>
          <w:lang w:val="pl-PL"/>
        </w:rPr>
        <w:t xml:space="preserve">działań </w:t>
      </w:r>
      <w:r w:rsidR="007F4E3E" w:rsidRPr="00214C70">
        <w:rPr>
          <w:rFonts w:asciiTheme="minorHAnsi" w:hAnsiTheme="minorHAnsi" w:cs="Calibri"/>
          <w:bCs/>
          <w:sz w:val="22"/>
          <w:szCs w:val="22"/>
          <w:lang w:val="pl-PL"/>
        </w:rPr>
        <w:t>wraz z oceną ich efektywności</w:t>
      </w:r>
      <w:r w:rsidR="007F4E3E">
        <w:rPr>
          <w:rFonts w:asciiTheme="minorHAnsi" w:hAnsiTheme="minorHAnsi" w:cs="Calibri"/>
          <w:bCs/>
          <w:sz w:val="22"/>
          <w:szCs w:val="22"/>
          <w:lang w:val="pl-PL"/>
        </w:rPr>
        <w:t>. Działania te pozwolą na</w:t>
      </w:r>
      <w:r w:rsidR="007F4E3E" w:rsidRPr="00214C70">
        <w:rPr>
          <w:rFonts w:asciiTheme="minorHAnsi" w:hAnsiTheme="minorHAnsi" w:cs="Calibri"/>
          <w:bCs/>
          <w:sz w:val="22"/>
          <w:szCs w:val="22"/>
          <w:lang w:val="pl-PL"/>
        </w:rPr>
        <w:t xml:space="preserve"> </w:t>
      </w:r>
      <w:r w:rsidRPr="00214C70">
        <w:rPr>
          <w:rFonts w:asciiTheme="minorHAnsi" w:hAnsiTheme="minorHAnsi" w:cs="Calibri"/>
          <w:bCs/>
          <w:sz w:val="22"/>
          <w:szCs w:val="22"/>
          <w:lang w:val="pl-PL"/>
        </w:rPr>
        <w:t>zwiększ</w:t>
      </w:r>
      <w:r w:rsidR="007F4E3E">
        <w:rPr>
          <w:rFonts w:asciiTheme="minorHAnsi" w:hAnsiTheme="minorHAnsi" w:cs="Calibri"/>
          <w:bCs/>
          <w:sz w:val="22"/>
          <w:szCs w:val="22"/>
          <w:lang w:val="pl-PL"/>
        </w:rPr>
        <w:t xml:space="preserve">enie odporności </w:t>
      </w:r>
      <w:r w:rsidRPr="00214C70">
        <w:rPr>
          <w:rFonts w:asciiTheme="minorHAnsi" w:hAnsiTheme="minorHAnsi" w:cs="Calibri"/>
          <w:bCs/>
          <w:sz w:val="22"/>
          <w:szCs w:val="22"/>
          <w:lang w:val="pl-PL"/>
        </w:rPr>
        <w:t>miasta na zagrożenia związane ze zmianami klimatu,. Dodatkową wartością będzie aktywizacja i zaangażowanie mieszkańców w opracowanie MPA, co powinno w przyszłości przełożyć się na aktywny udział społeczeństwa w procesie ich wdrażania i dalszego kształtowania polityki adaptacyjnej miasta.</w:t>
      </w:r>
    </w:p>
    <w:p w14:paraId="02B98635" w14:textId="77777777" w:rsidR="00AA1FC1" w:rsidRPr="00FC5701" w:rsidRDefault="00603CF9" w:rsidP="00FC5701">
      <w:pPr>
        <w:pStyle w:val="Domylne"/>
        <w:spacing w:after="120" w:line="276" w:lineRule="auto"/>
        <w:jc w:val="both"/>
        <w:rPr>
          <w:rFonts w:asciiTheme="minorHAnsi" w:eastAsia="Helvetica" w:hAnsiTheme="minorHAnsi" w:cs="Calibri"/>
          <w:b/>
        </w:rPr>
      </w:pPr>
      <w:r w:rsidRPr="00FC5701">
        <w:rPr>
          <w:rFonts w:asciiTheme="minorHAnsi" w:eastAsia="Helvetica" w:hAnsiTheme="minorHAnsi" w:cs="Calibri"/>
          <w:b/>
        </w:rPr>
        <w:t xml:space="preserve">Jakie są oczekiwania </w:t>
      </w:r>
      <w:r w:rsidR="00AA1FC1" w:rsidRPr="00FC5701">
        <w:rPr>
          <w:rFonts w:asciiTheme="minorHAnsi" w:eastAsia="Helvetica" w:hAnsiTheme="minorHAnsi" w:cs="Calibri"/>
          <w:b/>
        </w:rPr>
        <w:t>miast?</w:t>
      </w:r>
    </w:p>
    <w:p w14:paraId="225E5CEC" w14:textId="77777777" w:rsidR="00AA1FC1" w:rsidRPr="00214C70" w:rsidRDefault="00FC5701" w:rsidP="00214C70">
      <w:pPr>
        <w:spacing w:after="80" w:line="276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  <w:r>
        <w:rPr>
          <w:rFonts w:asciiTheme="minorHAnsi" w:hAnsiTheme="minorHAnsi" w:cs="Calibri"/>
          <w:sz w:val="22"/>
          <w:szCs w:val="22"/>
          <w:lang w:val="pl-PL"/>
        </w:rPr>
        <w:t xml:space="preserve">Jednym z najważniejszych oczekiwań miast związanych z planami adaptacji </w:t>
      </w:r>
      <w:r w:rsidR="00AA1FC1" w:rsidRPr="00214C70">
        <w:rPr>
          <w:rFonts w:asciiTheme="minorHAnsi" w:hAnsiTheme="minorHAnsi" w:cs="Calibri"/>
          <w:sz w:val="22"/>
          <w:szCs w:val="22"/>
          <w:lang w:val="pl-PL"/>
        </w:rPr>
        <w:t xml:space="preserve">jest </w:t>
      </w:r>
      <w:r>
        <w:rPr>
          <w:rFonts w:asciiTheme="minorHAnsi" w:hAnsiTheme="minorHAnsi" w:cs="Calibri"/>
          <w:sz w:val="22"/>
          <w:szCs w:val="22"/>
          <w:lang w:val="pl-PL"/>
        </w:rPr>
        <w:t xml:space="preserve">poprawa </w:t>
      </w:r>
      <w:r w:rsidR="00AA1FC1" w:rsidRPr="00214C70">
        <w:rPr>
          <w:rFonts w:asciiTheme="minorHAnsi" w:hAnsiTheme="minorHAnsi" w:cs="Calibri"/>
          <w:sz w:val="22"/>
          <w:szCs w:val="22"/>
          <w:lang w:val="pl-PL"/>
        </w:rPr>
        <w:t>zagospodarowani</w:t>
      </w:r>
      <w:r>
        <w:rPr>
          <w:rFonts w:asciiTheme="minorHAnsi" w:hAnsiTheme="minorHAnsi" w:cs="Calibri"/>
          <w:sz w:val="22"/>
          <w:szCs w:val="22"/>
          <w:lang w:val="pl-PL"/>
        </w:rPr>
        <w:t>a</w:t>
      </w:r>
      <w:r w:rsidR="00AA1FC1" w:rsidRPr="00214C70">
        <w:rPr>
          <w:rFonts w:asciiTheme="minorHAnsi" w:hAnsiTheme="minorHAnsi" w:cs="Calibri"/>
          <w:sz w:val="22"/>
          <w:szCs w:val="22"/>
          <w:lang w:val="pl-PL"/>
        </w:rPr>
        <w:t xml:space="preserve"> wód opadowych. Z prognoz wynika, że nawalne deszcze mogą pojawiać się częściej i być intensywniejsze. Dla samorządów ważne jest nie tylko zaplanowanie działań, ale zapewnienie źródeł ich finansowania. Obecnie z Programu Operacyjnego Infrastruktura i Środowisko można uzyskać dofinansowanie przedsięwzięć dotyczących systemów gospodarowania wodami opadowymi na terenach miejskich. </w:t>
      </w:r>
    </w:p>
    <w:p w14:paraId="191F9006" w14:textId="77777777" w:rsidR="00FC5701" w:rsidRDefault="00FC5701">
      <w:pPr>
        <w:rPr>
          <w:rFonts w:asciiTheme="minorHAnsi" w:hAnsiTheme="minorHAnsi" w:cs="Arial Unicode MS"/>
          <w:color w:val="000000"/>
          <w:sz w:val="22"/>
          <w:szCs w:val="22"/>
          <w:lang w:val="pl-PL" w:eastAsia="pl-PL"/>
        </w:rPr>
      </w:pPr>
      <w:r w:rsidRPr="00817EEB">
        <w:rPr>
          <w:rFonts w:asciiTheme="minorHAnsi" w:hAnsiTheme="minorHAnsi"/>
          <w:lang w:val="pl-PL"/>
        </w:rPr>
        <w:br w:type="page"/>
      </w:r>
    </w:p>
    <w:p w14:paraId="6AE4E8D4" w14:textId="77777777" w:rsidR="0093295C" w:rsidRPr="00584686" w:rsidRDefault="0093295C" w:rsidP="00214C70">
      <w:pPr>
        <w:pStyle w:val="Domylne"/>
        <w:spacing w:after="120" w:line="276" w:lineRule="auto"/>
        <w:jc w:val="both"/>
        <w:rPr>
          <w:rFonts w:asciiTheme="minorHAnsi" w:hAnsiTheme="minorHAnsi"/>
        </w:rPr>
      </w:pPr>
      <w:r w:rsidRPr="00584686">
        <w:rPr>
          <w:rFonts w:asciiTheme="minorHAnsi" w:hAnsiTheme="minorHAnsi"/>
        </w:rPr>
        <w:lastRenderedPageBreak/>
        <w:t xml:space="preserve">Zmiany klimatu mają charakter globalny, ale skutki tych zmian są lokalne i choć w miastach występują </w:t>
      </w:r>
      <w:r w:rsidR="007B1339" w:rsidRPr="00584686">
        <w:rPr>
          <w:rFonts w:asciiTheme="minorHAnsi" w:hAnsiTheme="minorHAnsi"/>
        </w:rPr>
        <w:t>zbliżone</w:t>
      </w:r>
      <w:r w:rsidRPr="00584686">
        <w:rPr>
          <w:rFonts w:asciiTheme="minorHAnsi" w:hAnsiTheme="minorHAnsi"/>
        </w:rPr>
        <w:t xml:space="preserve"> problemy, to w każdym </w:t>
      </w:r>
      <w:r w:rsidR="007B1339" w:rsidRPr="00584686">
        <w:rPr>
          <w:rFonts w:asciiTheme="minorHAnsi" w:hAnsiTheme="minorHAnsi"/>
        </w:rPr>
        <w:t>z nich</w:t>
      </w:r>
      <w:r w:rsidRPr="00584686">
        <w:rPr>
          <w:rFonts w:asciiTheme="minorHAnsi" w:hAnsiTheme="minorHAnsi"/>
        </w:rPr>
        <w:t xml:space="preserve"> mają one swoją specyfikę. </w:t>
      </w:r>
      <w:r w:rsidRPr="00214C70">
        <w:rPr>
          <w:rFonts w:asciiTheme="minorHAnsi" w:hAnsiTheme="minorHAnsi"/>
        </w:rPr>
        <w:t xml:space="preserve">Specyfika ta dotyczy także możliwych sposobów radzenia sobie ze skutkami zmian klimatu, spełniających oczekiwania zarówno władz </w:t>
      </w:r>
      <w:r w:rsidR="00157644">
        <w:rPr>
          <w:rFonts w:asciiTheme="minorHAnsi" w:hAnsiTheme="minorHAnsi"/>
        </w:rPr>
        <w:t>miasta, jak i jego mieszkańców. Opracowanie miejskich planów adaptacji jest jednym z działań wskazanych w</w:t>
      </w:r>
      <w:r w:rsidR="00584686" w:rsidRPr="00157644">
        <w:rPr>
          <w:rFonts w:asciiTheme="minorHAnsi" w:hAnsiTheme="minorHAnsi"/>
        </w:rPr>
        <w:t xml:space="preserve"> </w:t>
      </w:r>
      <w:r w:rsidR="00584686" w:rsidRPr="00157644">
        <w:rPr>
          <w:rFonts w:asciiTheme="minorHAnsi" w:hAnsiTheme="minorHAnsi"/>
          <w:i/>
        </w:rPr>
        <w:t>Strategiczny</w:t>
      </w:r>
      <w:r w:rsidR="00584686" w:rsidRPr="00584686">
        <w:rPr>
          <w:rFonts w:asciiTheme="minorHAnsi" w:hAnsiTheme="minorHAnsi"/>
          <w:i/>
        </w:rPr>
        <w:t>m</w:t>
      </w:r>
      <w:r w:rsidR="00584686" w:rsidRPr="00157644">
        <w:rPr>
          <w:rFonts w:asciiTheme="minorHAnsi" w:hAnsiTheme="minorHAnsi"/>
          <w:i/>
        </w:rPr>
        <w:t xml:space="preserve"> plan</w:t>
      </w:r>
      <w:r w:rsidR="00584686" w:rsidRPr="00584686">
        <w:rPr>
          <w:rFonts w:asciiTheme="minorHAnsi" w:hAnsiTheme="minorHAnsi"/>
          <w:i/>
        </w:rPr>
        <w:t>ie</w:t>
      </w:r>
      <w:r w:rsidR="00584686" w:rsidRPr="00157644">
        <w:rPr>
          <w:rFonts w:asciiTheme="minorHAnsi" w:hAnsiTheme="minorHAnsi"/>
          <w:i/>
        </w:rPr>
        <w:t xml:space="preserve"> adaptacji dla sektorów i obszarów wrażliwych na zmiany klimatu do roku 2020 z perspektywą do roku 2030</w:t>
      </w:r>
      <w:r w:rsidR="00157644" w:rsidRPr="00584686">
        <w:rPr>
          <w:rFonts w:asciiTheme="minorHAnsi" w:hAnsiTheme="minorHAnsi"/>
          <w:i/>
        </w:rPr>
        <w:t xml:space="preserve"> </w:t>
      </w:r>
      <w:r w:rsidR="00157644">
        <w:rPr>
          <w:rFonts w:asciiTheme="minorHAnsi" w:hAnsiTheme="minorHAnsi"/>
        </w:rPr>
        <w:t xml:space="preserve">(SPA2020). </w:t>
      </w:r>
      <w:r w:rsidRPr="00214C70">
        <w:rPr>
          <w:rFonts w:asciiTheme="minorHAnsi" w:hAnsiTheme="minorHAnsi"/>
        </w:rPr>
        <w:t>Ministerstwo Środowisk</w:t>
      </w:r>
      <w:r w:rsidR="0014565D" w:rsidRPr="00214C70">
        <w:rPr>
          <w:rFonts w:asciiTheme="minorHAnsi" w:hAnsiTheme="minorHAnsi"/>
        </w:rPr>
        <w:t>a</w:t>
      </w:r>
      <w:r w:rsidRPr="00214C70">
        <w:rPr>
          <w:rFonts w:asciiTheme="minorHAnsi" w:hAnsiTheme="minorHAnsi"/>
        </w:rPr>
        <w:t xml:space="preserve"> podjęło inicjatywę</w:t>
      </w:r>
      <w:r w:rsidR="00157644">
        <w:rPr>
          <w:rFonts w:asciiTheme="minorHAnsi" w:hAnsiTheme="minorHAnsi"/>
        </w:rPr>
        <w:t>,</w:t>
      </w:r>
      <w:r w:rsidRPr="00214C70">
        <w:rPr>
          <w:rFonts w:asciiTheme="minorHAnsi" w:hAnsiTheme="minorHAnsi"/>
        </w:rPr>
        <w:t xml:space="preserve"> by </w:t>
      </w:r>
      <w:r w:rsidR="00157644">
        <w:rPr>
          <w:rFonts w:asciiTheme="minorHAnsi" w:hAnsiTheme="minorHAnsi"/>
        </w:rPr>
        <w:t xml:space="preserve">działanie to zrealizować wspólnie z zainteresowanymi miastami. </w:t>
      </w:r>
      <w:r w:rsidR="000630A5" w:rsidRPr="00584686">
        <w:rPr>
          <w:rFonts w:asciiTheme="minorHAnsi" w:hAnsiTheme="minorHAnsi"/>
        </w:rPr>
        <w:t xml:space="preserve">44 </w:t>
      </w:r>
      <w:r w:rsidRPr="00584686">
        <w:rPr>
          <w:rFonts w:asciiTheme="minorHAnsi" w:hAnsiTheme="minorHAnsi"/>
        </w:rPr>
        <w:t>polskie miasta</w:t>
      </w:r>
      <w:r w:rsidR="00157644" w:rsidRPr="00584686">
        <w:rPr>
          <w:rFonts w:asciiTheme="minorHAnsi" w:hAnsiTheme="minorHAnsi"/>
        </w:rPr>
        <w:t xml:space="preserve"> przystąpiły do porozumienia z Ministerstwem Środowiska</w:t>
      </w:r>
      <w:r w:rsidRPr="00584686">
        <w:rPr>
          <w:rFonts w:asciiTheme="minorHAnsi" w:hAnsiTheme="minorHAnsi"/>
        </w:rPr>
        <w:t xml:space="preserve">. </w:t>
      </w:r>
      <w:r w:rsidR="00BF5F29" w:rsidRPr="00584686">
        <w:rPr>
          <w:rFonts w:asciiTheme="minorHAnsi" w:hAnsiTheme="minorHAnsi"/>
        </w:rPr>
        <w:t>Do początku</w:t>
      </w:r>
      <w:r w:rsidR="007B1339" w:rsidRPr="00584686">
        <w:rPr>
          <w:rFonts w:asciiTheme="minorHAnsi" w:hAnsiTheme="minorHAnsi"/>
        </w:rPr>
        <w:t xml:space="preserve"> 2019r. powstaną </w:t>
      </w:r>
      <w:r w:rsidRPr="00584686">
        <w:rPr>
          <w:rFonts w:asciiTheme="minorHAnsi" w:hAnsiTheme="minorHAnsi"/>
        </w:rPr>
        <w:t>Miejskie Plany Adaptacji</w:t>
      </w:r>
      <w:r w:rsidR="00BF5F29" w:rsidRPr="00584686">
        <w:rPr>
          <w:rFonts w:asciiTheme="minorHAnsi" w:hAnsiTheme="minorHAnsi"/>
        </w:rPr>
        <w:t xml:space="preserve"> dla 44 miast,</w:t>
      </w:r>
      <w:r w:rsidR="007B1339" w:rsidRPr="00584686">
        <w:rPr>
          <w:rFonts w:asciiTheme="minorHAnsi" w:hAnsiTheme="minorHAnsi"/>
        </w:rPr>
        <w:t xml:space="preserve"> a ich </w:t>
      </w:r>
      <w:r w:rsidRPr="00584686">
        <w:rPr>
          <w:rFonts w:asciiTheme="minorHAnsi" w:hAnsiTheme="minorHAnsi"/>
        </w:rPr>
        <w:t>wdrożenie poprawi bezpieczeństwo i jakość życia mieszkańców</w:t>
      </w:r>
      <w:r w:rsidR="00BF5F29" w:rsidRPr="00584686">
        <w:rPr>
          <w:rFonts w:asciiTheme="minorHAnsi" w:hAnsiTheme="minorHAnsi"/>
        </w:rPr>
        <w:t>.</w:t>
      </w:r>
    </w:p>
    <w:p w14:paraId="6AC50520" w14:textId="77777777" w:rsidR="0093295C" w:rsidRPr="00214C70" w:rsidRDefault="0093295C" w:rsidP="00FC5701">
      <w:pPr>
        <w:pStyle w:val="Domylne"/>
        <w:spacing w:after="120" w:line="276" w:lineRule="auto"/>
        <w:jc w:val="both"/>
        <w:rPr>
          <w:rFonts w:asciiTheme="minorHAnsi" w:hAnsiTheme="minorHAnsi"/>
        </w:rPr>
      </w:pPr>
      <w:r w:rsidRPr="00214C70">
        <w:rPr>
          <w:rFonts w:asciiTheme="minorHAnsi" w:hAnsiTheme="minorHAnsi"/>
        </w:rPr>
        <w:t xml:space="preserve">Celem projektu </w:t>
      </w:r>
      <w:r w:rsidR="007B1339" w:rsidRPr="00FC5701">
        <w:rPr>
          <w:rFonts w:asciiTheme="minorHAnsi" w:hAnsiTheme="minorHAnsi"/>
        </w:rPr>
        <w:t xml:space="preserve">Miejskie Plany Adaptacji </w:t>
      </w:r>
      <w:r w:rsidR="0061417D">
        <w:rPr>
          <w:rFonts w:asciiTheme="minorHAnsi" w:hAnsiTheme="minorHAnsi"/>
        </w:rPr>
        <w:t xml:space="preserve">jest wsparcie władz miast w podejmowaniu </w:t>
      </w:r>
      <w:r w:rsidRPr="00214C70">
        <w:rPr>
          <w:rFonts w:asciiTheme="minorHAnsi" w:hAnsiTheme="minorHAnsi"/>
        </w:rPr>
        <w:t>decyzji strategicznych i inwestycyjnych, które uwzględniał</w:t>
      </w:r>
      <w:r w:rsidR="00073AF8" w:rsidRPr="00214C70">
        <w:rPr>
          <w:rFonts w:asciiTheme="minorHAnsi" w:hAnsiTheme="minorHAnsi"/>
        </w:rPr>
        <w:t>y</w:t>
      </w:r>
      <w:r w:rsidRPr="00214C70">
        <w:rPr>
          <w:rFonts w:asciiTheme="minorHAnsi" w:hAnsiTheme="minorHAnsi"/>
        </w:rPr>
        <w:t xml:space="preserve">by zagrożenia wynikające ze zmian klimatu. Miejski plan adaptacji do zmian klimatu jest narzędziem wdrażania Strategii UE w zakresie przystosowania się do zmiany klimatu oraz krajowego Strategicznego planu adaptacji dla sektorów i obszarów wrażliwych na zmiany klimatu do roku 2020 (SPA 2020) – służącym rozwiązaniu najważniejszych problemów miasta wynikających ze zmian klimatu. </w:t>
      </w:r>
    </w:p>
    <w:p w14:paraId="23627D0F" w14:textId="77777777" w:rsidR="0093295C" w:rsidRPr="00214C70" w:rsidRDefault="0093295C" w:rsidP="00FC5701">
      <w:pPr>
        <w:pStyle w:val="Domylne"/>
        <w:spacing w:after="120" w:line="276" w:lineRule="auto"/>
        <w:jc w:val="both"/>
        <w:rPr>
          <w:rFonts w:asciiTheme="minorHAnsi" w:hAnsiTheme="minorHAnsi"/>
        </w:rPr>
      </w:pPr>
      <w:r w:rsidRPr="00214C70">
        <w:rPr>
          <w:rFonts w:asciiTheme="minorHAnsi" w:hAnsiTheme="minorHAnsi"/>
        </w:rPr>
        <w:t>Opracowanie MPA jest niezbędnym krokiem mającym ws</w:t>
      </w:r>
      <w:r w:rsidR="00987330">
        <w:rPr>
          <w:rFonts w:asciiTheme="minorHAnsi" w:hAnsiTheme="minorHAnsi"/>
        </w:rPr>
        <w:t xml:space="preserve">kazać działania, </w:t>
      </w:r>
      <w:r w:rsidRPr="00214C70">
        <w:rPr>
          <w:rFonts w:asciiTheme="minorHAnsi" w:hAnsiTheme="minorHAnsi"/>
        </w:rPr>
        <w:t>prowadzące do ograniczania negatywnych konsekwen</w:t>
      </w:r>
      <w:r w:rsidR="00987330">
        <w:rPr>
          <w:rFonts w:asciiTheme="minorHAnsi" w:hAnsiTheme="minorHAnsi"/>
        </w:rPr>
        <w:t>cji</w:t>
      </w:r>
      <w:r w:rsidRPr="00214C70">
        <w:rPr>
          <w:rFonts w:asciiTheme="minorHAnsi" w:hAnsiTheme="minorHAnsi"/>
        </w:rPr>
        <w:t xml:space="preserve"> zmian </w:t>
      </w:r>
      <w:r w:rsidR="00987330">
        <w:rPr>
          <w:rFonts w:asciiTheme="minorHAnsi" w:hAnsiTheme="minorHAnsi"/>
        </w:rPr>
        <w:t xml:space="preserve">klimatu </w:t>
      </w:r>
      <w:r w:rsidRPr="00214C70">
        <w:rPr>
          <w:rFonts w:asciiTheme="minorHAnsi" w:hAnsiTheme="minorHAnsi"/>
        </w:rPr>
        <w:t>oraz wykorzystania i wzmoc</w:t>
      </w:r>
      <w:r w:rsidR="00987330">
        <w:rPr>
          <w:rFonts w:asciiTheme="minorHAnsi" w:hAnsiTheme="minorHAnsi"/>
        </w:rPr>
        <w:t>nienia pozytywnych skutków</w:t>
      </w:r>
      <w:r w:rsidR="00584686">
        <w:rPr>
          <w:rFonts w:asciiTheme="minorHAnsi" w:hAnsiTheme="minorHAnsi"/>
        </w:rPr>
        <w:t xml:space="preserve"> tych zmian</w:t>
      </w:r>
      <w:r w:rsidR="00987330">
        <w:rPr>
          <w:rFonts w:asciiTheme="minorHAnsi" w:hAnsiTheme="minorHAnsi"/>
        </w:rPr>
        <w:t>. Ma także służyć</w:t>
      </w:r>
      <w:r w:rsidRPr="00214C70">
        <w:rPr>
          <w:rFonts w:asciiTheme="minorHAnsi" w:hAnsiTheme="minorHAnsi"/>
        </w:rPr>
        <w:t xml:space="preserve"> optymalizacji kosztów podejmowanych działań adaptacyjnych pod kątem ich efektywności. Katalog moż</w:t>
      </w:r>
      <w:r w:rsidR="00113CC5" w:rsidRPr="00214C70">
        <w:rPr>
          <w:rFonts w:asciiTheme="minorHAnsi" w:hAnsiTheme="minorHAnsi"/>
        </w:rPr>
        <w:t>liwych działań w odpowiedzi na </w:t>
      </w:r>
      <w:r w:rsidRPr="00214C70">
        <w:rPr>
          <w:rFonts w:asciiTheme="minorHAnsi" w:hAnsiTheme="minorHAnsi"/>
        </w:rPr>
        <w:t xml:space="preserve">zagrożenia związane z klimatem jest bardzo szeroki, zasadne jest więc opracowanie merytorycznych podstaw do podejmowania decyzji optymalnych pod względem środowiskowym, społecznym i finansowym, a także wykonalnych pod względem technicznym i prawnym. </w:t>
      </w:r>
    </w:p>
    <w:p w14:paraId="14647999" w14:textId="77777777" w:rsidR="004F1ADE" w:rsidRDefault="004F1ADE" w:rsidP="00FC5701">
      <w:pPr>
        <w:pStyle w:val="Domylne"/>
        <w:spacing w:after="120" w:line="276" w:lineRule="auto"/>
        <w:jc w:val="both"/>
        <w:rPr>
          <w:rFonts w:asciiTheme="minorHAnsi" w:hAnsiTheme="minorHAnsi"/>
        </w:rPr>
      </w:pPr>
      <w:r w:rsidRPr="00214C70">
        <w:rPr>
          <w:rFonts w:asciiTheme="minorHAnsi" w:hAnsiTheme="minorHAnsi"/>
        </w:rPr>
        <w:t>W ramach opracowania MPA wykonane zosta</w:t>
      </w:r>
      <w:r>
        <w:rPr>
          <w:rFonts w:asciiTheme="minorHAnsi" w:hAnsiTheme="minorHAnsi"/>
        </w:rPr>
        <w:t>ną</w:t>
      </w:r>
      <w:r w:rsidRPr="00214C70">
        <w:rPr>
          <w:rFonts w:asciiTheme="minorHAnsi" w:hAnsiTheme="minorHAnsi"/>
        </w:rPr>
        <w:t xml:space="preserve"> analiz</w:t>
      </w:r>
      <w:r>
        <w:rPr>
          <w:rFonts w:asciiTheme="minorHAnsi" w:hAnsiTheme="minorHAnsi"/>
        </w:rPr>
        <w:t>y</w:t>
      </w:r>
      <w:r w:rsidRPr="00214C70">
        <w:rPr>
          <w:rFonts w:asciiTheme="minorHAnsi" w:hAnsiTheme="minorHAnsi"/>
        </w:rPr>
        <w:t xml:space="preserve"> pozwa</w:t>
      </w:r>
      <w:r>
        <w:rPr>
          <w:rFonts w:asciiTheme="minorHAnsi" w:hAnsiTheme="minorHAnsi"/>
        </w:rPr>
        <w:t>lające</w:t>
      </w:r>
      <w:r w:rsidRPr="00214C70">
        <w:rPr>
          <w:rFonts w:asciiTheme="minorHAnsi" w:hAnsiTheme="minorHAnsi"/>
        </w:rPr>
        <w:t xml:space="preserve"> na</w:t>
      </w:r>
      <w:r>
        <w:rPr>
          <w:rFonts w:asciiTheme="minorHAnsi" w:hAnsiTheme="minorHAnsi"/>
        </w:rPr>
        <w:t xml:space="preserve"> </w:t>
      </w:r>
      <w:r w:rsidRPr="00214C70">
        <w:rPr>
          <w:rFonts w:asciiTheme="minorHAnsi" w:hAnsiTheme="minorHAnsi"/>
        </w:rPr>
        <w:t>rozstrzygnięcie, które działania adaptacyjne są najbardziej korzystne dla mias</w:t>
      </w:r>
      <w:r>
        <w:rPr>
          <w:rFonts w:asciiTheme="minorHAnsi" w:hAnsiTheme="minorHAnsi"/>
        </w:rPr>
        <w:t>ta</w:t>
      </w:r>
      <w:r w:rsidRPr="00214C70">
        <w:rPr>
          <w:rFonts w:asciiTheme="minorHAnsi" w:hAnsiTheme="minorHAnsi"/>
        </w:rPr>
        <w:t xml:space="preserve">, w szczególności dla poprawy jakości życia i bezpieczeństwa jego mieszkańców. </w:t>
      </w:r>
      <w:r>
        <w:rPr>
          <w:rFonts w:asciiTheme="minorHAnsi" w:hAnsiTheme="minorHAnsi"/>
        </w:rPr>
        <w:t>U</w:t>
      </w:r>
      <w:r w:rsidRPr="00214C70">
        <w:rPr>
          <w:rFonts w:asciiTheme="minorHAnsi" w:hAnsiTheme="minorHAnsi"/>
        </w:rPr>
        <w:t>dział społeczeństwa w</w:t>
      </w:r>
      <w:r>
        <w:rPr>
          <w:rFonts w:asciiTheme="minorHAnsi" w:hAnsiTheme="minorHAnsi"/>
        </w:rPr>
        <w:t xml:space="preserve"> </w:t>
      </w:r>
      <w:r w:rsidRPr="00214C70">
        <w:rPr>
          <w:rFonts w:asciiTheme="minorHAnsi" w:hAnsiTheme="minorHAnsi"/>
        </w:rPr>
        <w:t>opracowywaniu MPA pozwoli na uzyskanie akceptacji dla planowanych w dokumencie działań.</w:t>
      </w:r>
    </w:p>
    <w:p w14:paraId="6D99B18E" w14:textId="77777777" w:rsidR="0093295C" w:rsidRDefault="0093295C" w:rsidP="00FC5701">
      <w:pPr>
        <w:pStyle w:val="Domylne"/>
        <w:spacing w:after="120" w:line="276" w:lineRule="auto"/>
        <w:jc w:val="both"/>
        <w:rPr>
          <w:rFonts w:asciiTheme="minorHAnsi" w:hAnsiTheme="minorHAnsi"/>
        </w:rPr>
      </w:pPr>
      <w:r w:rsidRPr="00214C70">
        <w:rPr>
          <w:rFonts w:asciiTheme="minorHAnsi" w:hAnsiTheme="minorHAnsi"/>
        </w:rPr>
        <w:t>N</w:t>
      </w:r>
      <w:r w:rsidR="00F314CB">
        <w:rPr>
          <w:rFonts w:asciiTheme="minorHAnsi" w:hAnsiTheme="minorHAnsi"/>
        </w:rPr>
        <w:t xml:space="preserve">aukowe uzasadnienie działań adaptacyjnych i uzyskanie dla nich akceptacji społecznej </w:t>
      </w:r>
      <w:r w:rsidRPr="00214C70">
        <w:rPr>
          <w:rFonts w:asciiTheme="minorHAnsi" w:hAnsiTheme="minorHAnsi"/>
        </w:rPr>
        <w:t xml:space="preserve">przyczynią się do </w:t>
      </w:r>
      <w:r w:rsidR="00F314CB">
        <w:rPr>
          <w:rFonts w:asciiTheme="minorHAnsi" w:hAnsiTheme="minorHAnsi"/>
        </w:rPr>
        <w:t xml:space="preserve">ich </w:t>
      </w:r>
      <w:r w:rsidRPr="00214C70">
        <w:rPr>
          <w:rFonts w:asciiTheme="minorHAnsi" w:hAnsiTheme="minorHAnsi"/>
        </w:rPr>
        <w:t>sprawnego</w:t>
      </w:r>
      <w:r w:rsidR="00F314CB">
        <w:rPr>
          <w:rFonts w:asciiTheme="minorHAnsi" w:hAnsiTheme="minorHAnsi"/>
        </w:rPr>
        <w:t xml:space="preserve"> wdrażania</w:t>
      </w:r>
      <w:r w:rsidRPr="00214C70">
        <w:rPr>
          <w:rFonts w:asciiTheme="minorHAnsi" w:hAnsiTheme="minorHAnsi"/>
        </w:rPr>
        <w:t xml:space="preserve"> w planowaniu przestrzennym, w procesach inwestycyjnych, w zarządzaniu infrastrukturą społeczną, a także w pozyskiwaniu środków finansowych na te działania</w:t>
      </w:r>
      <w:r w:rsidR="00FC5701">
        <w:rPr>
          <w:rFonts w:asciiTheme="minorHAnsi" w:hAnsiTheme="minorHAnsi"/>
        </w:rPr>
        <w:t xml:space="preserve">. </w:t>
      </w:r>
    </w:p>
    <w:p w14:paraId="3C3D7FA9" w14:textId="77777777" w:rsidR="00E2607A" w:rsidRDefault="00E2607A" w:rsidP="00F314CB">
      <w:pPr>
        <w:pStyle w:val="Domylne"/>
        <w:spacing w:line="276" w:lineRule="auto"/>
        <w:rPr>
          <w:rFonts w:asciiTheme="minorHAnsi" w:hAnsiTheme="minorHAnsi"/>
        </w:rPr>
      </w:pPr>
    </w:p>
    <w:p w14:paraId="1E573F9A" w14:textId="77777777" w:rsidR="002439ED" w:rsidRDefault="002439ED" w:rsidP="00F314CB">
      <w:pPr>
        <w:pStyle w:val="Domylne"/>
        <w:spacing w:line="276" w:lineRule="auto"/>
        <w:rPr>
          <w:rFonts w:asciiTheme="minorHAnsi" w:hAnsiTheme="minorHAnsi"/>
        </w:rPr>
      </w:pPr>
    </w:p>
    <w:p w14:paraId="142FBC2F" w14:textId="77777777" w:rsidR="002439ED" w:rsidRDefault="002439ED" w:rsidP="00F314CB">
      <w:pPr>
        <w:pStyle w:val="Domylne"/>
        <w:spacing w:line="276" w:lineRule="auto"/>
        <w:rPr>
          <w:rFonts w:asciiTheme="minorHAnsi" w:hAnsiTheme="minorHAnsi"/>
        </w:rPr>
      </w:pPr>
    </w:p>
    <w:p w14:paraId="06530443" w14:textId="77777777" w:rsidR="002439ED" w:rsidRDefault="002439ED" w:rsidP="00F314CB">
      <w:pPr>
        <w:pStyle w:val="Domylne"/>
        <w:spacing w:line="276" w:lineRule="auto"/>
        <w:rPr>
          <w:rFonts w:asciiTheme="minorHAnsi" w:hAnsiTheme="minorHAnsi"/>
        </w:rPr>
      </w:pPr>
    </w:p>
    <w:p w14:paraId="39D71FC2" w14:textId="77777777" w:rsidR="00E2607A" w:rsidRDefault="00F314CB" w:rsidP="00E2607A">
      <w:pPr>
        <w:pStyle w:val="Domylne"/>
        <w:spacing w:line="276" w:lineRule="auto"/>
        <w:jc w:val="both"/>
        <w:rPr>
          <w:rFonts w:asciiTheme="minorHAnsi" w:hAnsiTheme="minorHAnsi"/>
          <w:u w:val="single"/>
        </w:rPr>
      </w:pPr>
      <w:r w:rsidRPr="00E2607A">
        <w:rPr>
          <w:rFonts w:asciiTheme="minorHAnsi" w:hAnsiTheme="minorHAnsi"/>
          <w:u w:val="single"/>
        </w:rPr>
        <w:t>Dołączamy do czołówki ś</w:t>
      </w:r>
      <w:r w:rsidR="00E2607A">
        <w:rPr>
          <w:rFonts w:asciiTheme="minorHAnsi" w:hAnsiTheme="minorHAnsi"/>
          <w:u w:val="single"/>
        </w:rPr>
        <w:t xml:space="preserve">wiatowej w zakresie adaptacji do zmian klimatu, do miast takich jak: </w:t>
      </w:r>
      <w:proofErr w:type="spellStart"/>
      <w:r w:rsidRPr="00E2607A">
        <w:rPr>
          <w:rFonts w:asciiTheme="minorHAnsi" w:hAnsiTheme="minorHAnsi"/>
          <w:u w:val="single"/>
          <w:lang w:val="pt-PT"/>
        </w:rPr>
        <w:t>Kopenhaga</w:t>
      </w:r>
      <w:proofErr w:type="spellEnd"/>
      <w:r w:rsidRPr="00E2607A">
        <w:rPr>
          <w:rFonts w:asciiTheme="minorHAnsi" w:hAnsiTheme="minorHAnsi"/>
          <w:u w:val="single"/>
          <w:lang w:val="pt-PT"/>
        </w:rPr>
        <w:t xml:space="preserve">, </w:t>
      </w:r>
      <w:r w:rsidR="00E2607A">
        <w:rPr>
          <w:rFonts w:asciiTheme="minorHAnsi" w:hAnsiTheme="minorHAnsi"/>
          <w:u w:val="single"/>
        </w:rPr>
        <w:t>Amsterdam, Toronto, Vancouver i Londyn.</w:t>
      </w:r>
    </w:p>
    <w:p w14:paraId="0CEA2FC5" w14:textId="77777777" w:rsidR="00F314CB" w:rsidRPr="00E2607A" w:rsidRDefault="00F314CB" w:rsidP="00E2607A">
      <w:pPr>
        <w:pStyle w:val="Domylne"/>
        <w:spacing w:line="276" w:lineRule="auto"/>
        <w:jc w:val="both"/>
        <w:rPr>
          <w:rFonts w:asciiTheme="minorHAnsi" w:eastAsia="Arial" w:hAnsiTheme="minorHAnsi" w:cs="Arial"/>
          <w:u w:val="single"/>
        </w:rPr>
      </w:pPr>
      <w:r w:rsidRPr="00E2607A">
        <w:rPr>
          <w:rFonts w:asciiTheme="minorHAnsi" w:hAnsiTheme="minorHAnsi"/>
          <w:u w:val="single"/>
        </w:rPr>
        <w:t>Odpowiedzialnie i kompleksowo zajmujemy się adaptacją do zmian klimatu.</w:t>
      </w:r>
    </w:p>
    <w:p w14:paraId="0F374753" w14:textId="77777777" w:rsidR="00C67436" w:rsidRDefault="00E2607A" w:rsidP="002439ED">
      <w:pPr>
        <w:pStyle w:val="Domylne"/>
        <w:spacing w:line="276" w:lineRule="auto"/>
        <w:jc w:val="both"/>
        <w:rPr>
          <w:rFonts w:asciiTheme="minorHAnsi" w:eastAsia="Arial" w:hAnsiTheme="minorHAnsi" w:cs="Arial"/>
          <w:u w:val="single"/>
        </w:rPr>
      </w:pPr>
      <w:r>
        <w:rPr>
          <w:rFonts w:asciiTheme="minorHAnsi" w:hAnsiTheme="minorHAnsi"/>
          <w:u w:val="single"/>
        </w:rPr>
        <w:t xml:space="preserve">Jednoczesne opracowanie </w:t>
      </w:r>
      <w:r w:rsidR="00F314CB" w:rsidRPr="00E2607A">
        <w:rPr>
          <w:rFonts w:asciiTheme="minorHAnsi" w:hAnsiTheme="minorHAnsi"/>
          <w:u w:val="single"/>
        </w:rPr>
        <w:t>44</w:t>
      </w:r>
      <w:r>
        <w:rPr>
          <w:rFonts w:asciiTheme="minorHAnsi" w:hAnsiTheme="minorHAnsi"/>
          <w:u w:val="single"/>
        </w:rPr>
        <w:t xml:space="preserve"> planów adaptacji do zmian klimatu</w:t>
      </w:r>
      <w:r w:rsidR="00F314CB" w:rsidRPr="00E2607A">
        <w:rPr>
          <w:rFonts w:asciiTheme="minorHAnsi" w:hAnsiTheme="minorHAnsi"/>
          <w:u w:val="single"/>
        </w:rPr>
        <w:t xml:space="preserve"> - to skala niespotykana </w:t>
      </w:r>
      <w:r w:rsidR="00987330">
        <w:rPr>
          <w:rFonts w:asciiTheme="minorHAnsi" w:hAnsiTheme="minorHAnsi"/>
          <w:u w:val="single"/>
        </w:rPr>
        <w:br/>
      </w:r>
      <w:r w:rsidR="00F314CB" w:rsidRPr="00E2607A">
        <w:rPr>
          <w:rFonts w:asciiTheme="minorHAnsi" w:hAnsiTheme="minorHAnsi"/>
          <w:u w:val="single"/>
        </w:rPr>
        <w:t>w Europie.</w:t>
      </w:r>
    </w:p>
    <w:p w14:paraId="56B7FBD0" w14:textId="77777777" w:rsidR="002439ED" w:rsidRPr="002439ED" w:rsidRDefault="002439ED" w:rsidP="002439ED">
      <w:pPr>
        <w:pStyle w:val="Domylne"/>
        <w:spacing w:line="276" w:lineRule="auto"/>
        <w:jc w:val="both"/>
        <w:rPr>
          <w:rFonts w:asciiTheme="minorHAnsi" w:eastAsia="Arial" w:hAnsiTheme="minorHAnsi" w:cs="Arial"/>
          <w:u w:val="single"/>
        </w:rPr>
      </w:pPr>
    </w:p>
    <w:p w14:paraId="6B445165" w14:textId="77777777" w:rsidR="00735BB0" w:rsidRPr="00FC5701" w:rsidRDefault="00C67436" w:rsidP="00214C70">
      <w:pPr>
        <w:pStyle w:val="Domylne"/>
        <w:spacing w:after="120" w:line="276" w:lineRule="auto"/>
        <w:jc w:val="both"/>
        <w:rPr>
          <w:rFonts w:asciiTheme="minorHAnsi" w:hAnsiTheme="minorHAnsi"/>
        </w:rPr>
      </w:pPr>
      <w:r w:rsidRPr="00FC5701">
        <w:rPr>
          <w:rFonts w:asciiTheme="minorHAnsi" w:hAnsiTheme="minorHAnsi"/>
        </w:rPr>
        <w:t xml:space="preserve">Wykonawcy projektu to wiodące podmioty działające w sektorze ochrony środowiska. Konsorcjum składa się z: Instytutu Ochrony Środowiska - Państwowego Instytutu Badawczego (lider), Instytutu Meteorologii i Gospodarki Wodnej - Państwowego Instytutu Badawczego, Instytutu Ekologii Terenów Uprzemysłowionych oraz firmy konsultingowo-inżynierskiej </w:t>
      </w:r>
      <w:proofErr w:type="spellStart"/>
      <w:r w:rsidRPr="00FC5701">
        <w:rPr>
          <w:rFonts w:asciiTheme="minorHAnsi" w:hAnsiTheme="minorHAnsi"/>
        </w:rPr>
        <w:t>Arcadis</w:t>
      </w:r>
      <w:proofErr w:type="spellEnd"/>
      <w:r w:rsidRPr="00FC5701">
        <w:rPr>
          <w:rFonts w:asciiTheme="minorHAnsi" w:hAnsiTheme="minorHAnsi"/>
        </w:rPr>
        <w:t>. Inicjatywa jest współfinansowana przez Unię Europejską ze środków Funduszu Spójności w ramach Programu Operacyjnego Infrastruktura i Środowisko oraz ze środków budżetu państwa.</w:t>
      </w:r>
    </w:p>
    <w:p w14:paraId="36F3930B" w14:textId="77777777" w:rsidR="00BF5F29" w:rsidRPr="00FC5701" w:rsidRDefault="00FC5701" w:rsidP="00214C70">
      <w:pPr>
        <w:pStyle w:val="Domylne"/>
        <w:spacing w:after="120" w:line="276" w:lineRule="auto"/>
        <w:jc w:val="both"/>
        <w:rPr>
          <w:rFonts w:asciiTheme="minorHAnsi" w:eastAsia="Helvetica" w:hAnsiTheme="minorHAnsi" w:cs="Calibri"/>
          <w:b/>
        </w:rPr>
      </w:pPr>
      <w:r>
        <w:rPr>
          <w:rFonts w:asciiTheme="minorHAnsi" w:eastAsia="Helvetica" w:hAnsiTheme="minorHAnsi" w:cs="Calibri"/>
          <w:b/>
        </w:rPr>
        <w:t>Nasi e</w:t>
      </w:r>
      <w:r w:rsidRPr="00FC5701">
        <w:rPr>
          <w:rFonts w:asciiTheme="minorHAnsi" w:eastAsia="Helvetica" w:hAnsiTheme="minorHAnsi" w:cs="Calibri"/>
          <w:b/>
        </w:rPr>
        <w:t>ksperci</w:t>
      </w:r>
      <w:r w:rsidR="00A3011D">
        <w:rPr>
          <w:rFonts w:asciiTheme="minorHAnsi" w:eastAsia="Helvetica" w:hAnsiTheme="minorHAnsi" w:cs="Calibri"/>
          <w:b/>
        </w:rPr>
        <w:t>:</w:t>
      </w:r>
    </w:p>
    <w:p w14:paraId="395CD082" w14:textId="77777777" w:rsidR="00BF5F29" w:rsidRDefault="00382635" w:rsidP="00DC1E9F">
      <w:pPr>
        <w:pStyle w:val="Domylne"/>
        <w:spacing w:before="8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prof. dr hab. Maciej Sadowski, IOŚ-PIB</w:t>
      </w:r>
      <w:r w:rsidR="009F39A9"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t xml:space="preserve"> </w:t>
      </w:r>
      <w:r w:rsidR="00123795">
        <w:rPr>
          <w:rFonts w:asciiTheme="minorHAnsi" w:hAnsiTheme="minorHAnsi" w:cs="Calibri"/>
        </w:rPr>
        <w:t>–</w:t>
      </w:r>
      <w:r>
        <w:rPr>
          <w:rFonts w:asciiTheme="minorHAnsi" w:hAnsiTheme="minorHAnsi" w:cs="Calibri"/>
        </w:rPr>
        <w:t xml:space="preserve"> klimatologia</w:t>
      </w:r>
      <w:r w:rsidR="00123795">
        <w:rPr>
          <w:rFonts w:asciiTheme="minorHAnsi" w:hAnsiTheme="minorHAnsi" w:cs="Calibri"/>
        </w:rPr>
        <w:t>, maciej.sadowski@ios.gov.pl</w:t>
      </w:r>
    </w:p>
    <w:p w14:paraId="38B7D7F4" w14:textId="77777777" w:rsidR="00DC1E9F" w:rsidRDefault="00DC1E9F" w:rsidP="00116CA0">
      <w:pPr>
        <w:pStyle w:val="Domylne"/>
        <w:spacing w:before="80"/>
        <w:rPr>
          <w:rFonts w:asciiTheme="minorHAnsi" w:hAnsiTheme="minorHAnsi" w:cs="Calibri"/>
        </w:rPr>
      </w:pPr>
      <w:r w:rsidRPr="00DC1E9F">
        <w:rPr>
          <w:rFonts w:asciiTheme="minorHAnsi" w:hAnsiTheme="minorHAnsi" w:cs="Calibri"/>
        </w:rPr>
        <w:t xml:space="preserve">prof. dr hab. Andrzej </w:t>
      </w:r>
      <w:proofErr w:type="spellStart"/>
      <w:r w:rsidRPr="00DC1E9F">
        <w:rPr>
          <w:rFonts w:asciiTheme="minorHAnsi" w:hAnsiTheme="minorHAnsi" w:cs="Calibri"/>
        </w:rPr>
        <w:t>Tiukało</w:t>
      </w:r>
      <w:proofErr w:type="spellEnd"/>
      <w:r>
        <w:rPr>
          <w:rFonts w:asciiTheme="minorHAnsi" w:hAnsiTheme="minorHAnsi" w:cs="Calibri"/>
        </w:rPr>
        <w:t>, IMGW-PIB</w:t>
      </w:r>
      <w:r w:rsidR="009F39A9"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t xml:space="preserve"> – metodyka opracowania MPA, gospodarka wodna, </w:t>
      </w:r>
      <w:r w:rsidRPr="00DC1E9F">
        <w:rPr>
          <w:rFonts w:asciiTheme="minorHAnsi" w:hAnsiTheme="minorHAnsi" w:cs="Calibri"/>
        </w:rPr>
        <w:t>andrzej.tiukalo@imgw.pl</w:t>
      </w:r>
      <w:r w:rsidRPr="00123795">
        <w:rPr>
          <w:rFonts w:asciiTheme="minorHAnsi" w:hAnsiTheme="minorHAnsi" w:cs="Calibri"/>
        </w:rPr>
        <w:t xml:space="preserve"> </w:t>
      </w:r>
    </w:p>
    <w:p w14:paraId="7FE4857A" w14:textId="77777777" w:rsidR="00DC1E9F" w:rsidRPr="00DC1E9F" w:rsidRDefault="00DC1E9F" w:rsidP="00DC1E9F">
      <w:pPr>
        <w:pStyle w:val="Domylne"/>
        <w:spacing w:before="80" w:line="276" w:lineRule="auto"/>
        <w:rPr>
          <w:rFonts w:asciiTheme="minorHAnsi" w:hAnsiTheme="minorHAnsi" w:cs="Calibri"/>
        </w:rPr>
      </w:pPr>
      <w:r w:rsidRPr="00DC1E9F">
        <w:rPr>
          <w:rFonts w:asciiTheme="minorHAnsi" w:hAnsiTheme="minorHAnsi" w:cs="Calibri"/>
        </w:rPr>
        <w:t>dr Justyna Gorgoń</w:t>
      </w:r>
      <w:r>
        <w:rPr>
          <w:rFonts w:asciiTheme="minorHAnsi" w:hAnsiTheme="minorHAnsi" w:cs="Calibri"/>
        </w:rPr>
        <w:t xml:space="preserve">, IETU </w:t>
      </w:r>
      <w:r w:rsidR="009F39A9"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t xml:space="preserve">– metodyka opracowania MPA, urbanistyka, </w:t>
      </w:r>
      <w:hyperlink r:id="rId8" w:history="1">
        <w:r w:rsidRPr="00DC1E9F">
          <w:t>j.gorgon@ietu.pl</w:t>
        </w:r>
      </w:hyperlink>
    </w:p>
    <w:p w14:paraId="7CE1915A" w14:textId="77777777" w:rsidR="00DC1E9F" w:rsidRDefault="00DC1E9F" w:rsidP="00116CA0">
      <w:pPr>
        <w:pStyle w:val="Domylne"/>
        <w:spacing w:before="80"/>
        <w:rPr>
          <w:rFonts w:asciiTheme="minorHAnsi" w:hAnsiTheme="minorHAnsi" w:cs="Calibri"/>
        </w:rPr>
      </w:pPr>
      <w:r w:rsidRPr="00DC1E9F">
        <w:rPr>
          <w:rFonts w:asciiTheme="minorHAnsi" w:hAnsiTheme="minorHAnsi" w:cs="Calibri"/>
        </w:rPr>
        <w:t>Małgorzata Hajto</w:t>
      </w:r>
      <w:r>
        <w:rPr>
          <w:rFonts w:asciiTheme="minorHAnsi" w:hAnsiTheme="minorHAnsi" w:cs="Calibri"/>
        </w:rPr>
        <w:t xml:space="preserve">, IOŚ-PIB </w:t>
      </w:r>
      <w:r w:rsidR="009F39A9"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t>– metodyka opracowania MPA, adaptacja do zmian klimatu</w:t>
      </w:r>
      <w:r w:rsidRPr="00DC1E9F">
        <w:rPr>
          <w:rFonts w:asciiTheme="minorHAnsi" w:hAnsiTheme="minorHAnsi" w:cs="Calibri"/>
        </w:rPr>
        <w:t xml:space="preserve"> malgorzata.hajto@ios.gov.pl</w:t>
      </w:r>
    </w:p>
    <w:p w14:paraId="74922998" w14:textId="77777777" w:rsidR="00DC1E9F" w:rsidRDefault="00DC1E9F" w:rsidP="00116CA0">
      <w:pPr>
        <w:pStyle w:val="Domylne"/>
        <w:spacing w:before="80"/>
        <w:rPr>
          <w:rFonts w:asciiTheme="minorHAnsi" w:hAnsiTheme="minorHAnsi" w:cs="Calibri"/>
        </w:rPr>
      </w:pPr>
      <w:r w:rsidRPr="00DC1E9F">
        <w:rPr>
          <w:rFonts w:asciiTheme="minorHAnsi" w:hAnsiTheme="minorHAnsi" w:cs="Calibri"/>
        </w:rPr>
        <w:t>Katarzyna Kobiela</w:t>
      </w:r>
      <w:r>
        <w:rPr>
          <w:rFonts w:asciiTheme="minorHAnsi" w:hAnsiTheme="minorHAnsi" w:cs="Calibri"/>
        </w:rPr>
        <w:t xml:space="preserve">, </w:t>
      </w:r>
      <w:proofErr w:type="spellStart"/>
      <w:r>
        <w:rPr>
          <w:rFonts w:asciiTheme="minorHAnsi" w:hAnsiTheme="minorHAnsi" w:cs="Calibri"/>
        </w:rPr>
        <w:t>Arcadis</w:t>
      </w:r>
      <w:proofErr w:type="spellEnd"/>
      <w:r>
        <w:rPr>
          <w:rFonts w:asciiTheme="minorHAnsi" w:hAnsiTheme="minorHAnsi" w:cs="Calibri"/>
        </w:rPr>
        <w:t xml:space="preserve"> </w:t>
      </w:r>
      <w:r w:rsidR="009F39A9"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t xml:space="preserve">– metodyka opracowania MPA, gospodarka wodna, </w:t>
      </w:r>
      <w:r w:rsidRPr="00DC1E9F">
        <w:rPr>
          <w:rFonts w:asciiTheme="minorHAnsi" w:hAnsiTheme="minorHAnsi" w:cs="Calibri"/>
        </w:rPr>
        <w:t>katarzyna.kobiela@arcadis.com</w:t>
      </w:r>
    </w:p>
    <w:p w14:paraId="2652AED2" w14:textId="77777777" w:rsidR="00DC1E9F" w:rsidRDefault="00DC1E9F" w:rsidP="00116CA0">
      <w:pPr>
        <w:pStyle w:val="Domylne"/>
        <w:spacing w:before="80"/>
        <w:rPr>
          <w:rFonts w:asciiTheme="minorHAnsi" w:hAnsiTheme="minorHAnsi" w:cs="Calibri"/>
        </w:rPr>
      </w:pPr>
      <w:proofErr w:type="spellStart"/>
      <w:r w:rsidRPr="00DC1E9F">
        <w:rPr>
          <w:rFonts w:asciiTheme="minorHAnsi" w:hAnsiTheme="minorHAnsi" w:cs="Calibri"/>
        </w:rPr>
        <w:t>Eric</w:t>
      </w:r>
      <w:proofErr w:type="spellEnd"/>
      <w:r w:rsidRPr="00DC1E9F">
        <w:rPr>
          <w:rFonts w:asciiTheme="minorHAnsi" w:hAnsiTheme="minorHAnsi" w:cs="Calibri"/>
        </w:rPr>
        <w:t xml:space="preserve"> </w:t>
      </w:r>
      <w:proofErr w:type="spellStart"/>
      <w:r w:rsidRPr="00DC1E9F">
        <w:rPr>
          <w:rFonts w:asciiTheme="minorHAnsi" w:hAnsiTheme="minorHAnsi" w:cs="Calibri"/>
        </w:rPr>
        <w:t>Schcellekens</w:t>
      </w:r>
      <w:proofErr w:type="spellEnd"/>
      <w:r>
        <w:rPr>
          <w:rFonts w:asciiTheme="minorHAnsi" w:hAnsiTheme="minorHAnsi" w:cs="Calibri"/>
        </w:rPr>
        <w:t xml:space="preserve">, </w:t>
      </w:r>
      <w:proofErr w:type="spellStart"/>
      <w:r>
        <w:rPr>
          <w:rFonts w:asciiTheme="minorHAnsi" w:hAnsiTheme="minorHAnsi" w:cs="Calibri"/>
        </w:rPr>
        <w:t>Arcadis</w:t>
      </w:r>
      <w:proofErr w:type="spellEnd"/>
      <w:r>
        <w:rPr>
          <w:rFonts w:asciiTheme="minorHAnsi" w:hAnsiTheme="minorHAnsi" w:cs="Calibri"/>
        </w:rPr>
        <w:t xml:space="preserve"> </w:t>
      </w:r>
      <w:r w:rsidR="009F39A9"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t xml:space="preserve">– metodyka opracowania MPA, adaptacja do zmian klimatu, </w:t>
      </w:r>
      <w:r w:rsidRPr="00DC1E9F">
        <w:rPr>
          <w:rFonts w:asciiTheme="minorHAnsi" w:hAnsiTheme="minorHAnsi" w:cs="Calibri"/>
        </w:rPr>
        <w:t>eric.schellekens@arcadis.com</w:t>
      </w:r>
    </w:p>
    <w:p w14:paraId="4D0978D8" w14:textId="77777777" w:rsidR="00DC1E9F" w:rsidRDefault="00DC1E9F" w:rsidP="00DC1E9F">
      <w:pPr>
        <w:pStyle w:val="Domylne"/>
        <w:spacing w:line="276" w:lineRule="auto"/>
        <w:jc w:val="both"/>
        <w:rPr>
          <w:rFonts w:asciiTheme="minorHAnsi" w:hAnsiTheme="minorHAnsi" w:cs="Calibri"/>
        </w:rPr>
      </w:pPr>
    </w:p>
    <w:p w14:paraId="7F6DC60A" w14:textId="77777777" w:rsidR="00FC5701" w:rsidRDefault="00FC5701" w:rsidP="00593BDF">
      <w:pPr>
        <w:pStyle w:val="Domylne"/>
        <w:spacing w:before="120" w:after="120" w:line="276" w:lineRule="auto"/>
        <w:jc w:val="both"/>
        <w:rPr>
          <w:b/>
        </w:rPr>
      </w:pPr>
      <w:r w:rsidRPr="00FD1C1F">
        <w:rPr>
          <w:b/>
        </w:rPr>
        <w:t>Partnerzy Projektu</w:t>
      </w:r>
      <w:r w:rsidR="00A71E7A">
        <w:rPr>
          <w:b/>
        </w:rPr>
        <w:t>:</w:t>
      </w:r>
    </w:p>
    <w:p w14:paraId="31536A17" w14:textId="77777777" w:rsidR="00A71E7A" w:rsidRPr="00A71E7A" w:rsidRDefault="00A71E7A" w:rsidP="00A71E7A">
      <w:pPr>
        <w:pStyle w:val="Domylne"/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Białystok, Bielsko Biała, Bydgoszcz, Bytom, Chorzów, Czeladź, Częstochowa, Dąbrowa Górnicza, Elbląg, Gdańsk, Gdynia, Gliwice, Gorzów Wielkopolski, Grudziądz, Jaworzno, Kalisz, Katowice, Kielce, Kraków, Legnica, Lublin, </w:t>
      </w:r>
      <w:r w:rsidRPr="00A71E7A">
        <w:rPr>
          <w:rFonts w:asciiTheme="minorHAnsi" w:hAnsiTheme="minorHAnsi" w:cs="Calibri"/>
        </w:rPr>
        <w:t>Łódź</w:t>
      </w:r>
      <w:r>
        <w:rPr>
          <w:rFonts w:asciiTheme="minorHAnsi" w:hAnsiTheme="minorHAnsi" w:cs="Calibri"/>
        </w:rPr>
        <w:t xml:space="preserve">, Mysłowice, Olsztyn, Opole, Płock, Poznań, Radom, Ruda Śląska, Rybnik, Rzeszów, Siemianowice Śląskie, Słupsk, Sopot, Sosnowiec, </w:t>
      </w:r>
      <w:r w:rsidR="00535697">
        <w:rPr>
          <w:rFonts w:asciiTheme="minorHAnsi" w:hAnsiTheme="minorHAnsi" w:cs="Calibri"/>
        </w:rPr>
        <w:t xml:space="preserve">Szczecin, </w:t>
      </w:r>
      <w:r w:rsidR="00123795">
        <w:rPr>
          <w:rFonts w:asciiTheme="minorHAnsi" w:hAnsiTheme="minorHAnsi" w:cs="Calibri"/>
        </w:rPr>
        <w:t xml:space="preserve">Tarnów, Toruń, Tychy, Wałbrzych, Włocławek, Wrocław, Zabrze, </w:t>
      </w:r>
      <w:r w:rsidRPr="00A71E7A">
        <w:rPr>
          <w:rFonts w:asciiTheme="minorHAnsi" w:hAnsiTheme="minorHAnsi" w:cs="Calibri"/>
        </w:rPr>
        <w:t>Zielona Góra</w:t>
      </w:r>
      <w:bookmarkStart w:id="0" w:name="_GoBack"/>
      <w:bookmarkEnd w:id="0"/>
    </w:p>
    <w:sectPr w:rsidR="00A71E7A" w:rsidRPr="00A71E7A" w:rsidSect="00CE547D">
      <w:headerReference w:type="default" r:id="rId9"/>
      <w:footerReference w:type="default" r:id="rId10"/>
      <w:pgSz w:w="11906" w:h="16838"/>
      <w:pgMar w:top="1361" w:right="1134" w:bottom="567" w:left="1134" w:header="1" w:footer="48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34AD2" w14:textId="77777777" w:rsidR="00DA42FE" w:rsidRDefault="00DA42FE">
      <w:r>
        <w:separator/>
      </w:r>
    </w:p>
  </w:endnote>
  <w:endnote w:type="continuationSeparator" w:id="0">
    <w:p w14:paraId="2C9F74E9" w14:textId="77777777" w:rsidR="00DA42FE" w:rsidRDefault="00DA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EA837" w14:textId="77777777" w:rsidR="00157644" w:rsidRDefault="00157644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157644" w:rsidRPr="00817EEB" w14:paraId="4863A7DC" w14:textId="77777777" w:rsidTr="00BE076E">
      <w:trPr>
        <w:trHeight w:val="454"/>
      </w:trPr>
      <w:tc>
        <w:tcPr>
          <w:tcW w:w="9638" w:type="dxa"/>
          <w:tcBorders>
            <w:top w:val="single" w:sz="4" w:space="0" w:color="DEDB00"/>
          </w:tcBorders>
          <w:vAlign w:val="center"/>
        </w:tcPr>
        <w:p w14:paraId="5808103C" w14:textId="77777777" w:rsidR="00157644" w:rsidRPr="002E6D2B" w:rsidRDefault="00157644" w:rsidP="002E6D2B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lang w:val="pl-PL"/>
            </w:rPr>
          </w:pPr>
          <w:r>
            <w:rPr>
              <w:rFonts w:ascii="Calibri" w:hAnsi="Calibri"/>
              <w:lang w:val="pl-PL"/>
            </w:rPr>
            <w:t>Opracowanie</w:t>
          </w:r>
          <w:r w:rsidRPr="002E6D2B">
            <w:rPr>
              <w:rFonts w:ascii="Calibri" w:hAnsi="Calibri"/>
              <w:lang w:val="pl-PL"/>
            </w:rPr>
            <w:t xml:space="preserve"> planów adaptacji do zmian klimatu</w:t>
          </w:r>
          <w:r>
            <w:rPr>
              <w:rFonts w:ascii="Calibri" w:hAnsi="Calibri"/>
              <w:lang w:val="pl-PL"/>
            </w:rPr>
            <w:t xml:space="preserve"> </w:t>
          </w:r>
          <w:r w:rsidRPr="002E6D2B">
            <w:rPr>
              <w:rFonts w:ascii="Calibri" w:hAnsi="Calibri"/>
              <w:lang w:val="pl-PL"/>
            </w:rPr>
            <w:t>w 44 miastach powyżej 100 tys. mieszkańców</w:t>
          </w:r>
        </w:p>
      </w:tc>
    </w:tr>
    <w:tr w:rsidR="00157644" w14:paraId="4B46C087" w14:textId="77777777" w:rsidTr="00BE076E">
      <w:tc>
        <w:tcPr>
          <w:tcW w:w="9638" w:type="dxa"/>
        </w:tcPr>
        <w:p w14:paraId="322B8980" w14:textId="77777777" w:rsidR="00157644" w:rsidRDefault="00157644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rPr>
              <w:noProof/>
              <w:lang w:val="pl-PL" w:eastAsia="pl-PL"/>
            </w:rPr>
            <w:drawing>
              <wp:inline distT="0" distB="0" distL="0" distR="0" wp14:anchorId="67B25BA1" wp14:editId="40722DE5">
                <wp:extent cx="5950599" cy="63264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5788" cy="6438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454CA64" w14:textId="77777777" w:rsidR="00157644" w:rsidRPr="00BA238A" w:rsidRDefault="00157644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83443" w14:textId="77777777" w:rsidR="00DA42FE" w:rsidRDefault="00DA42FE">
      <w:r>
        <w:separator/>
      </w:r>
    </w:p>
  </w:footnote>
  <w:footnote w:type="continuationSeparator" w:id="0">
    <w:p w14:paraId="1FE0A5F1" w14:textId="77777777" w:rsidR="00DA42FE" w:rsidRDefault="00DA42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D6A5" w14:textId="02F9A496" w:rsidR="00157644" w:rsidRPr="001A3149" w:rsidRDefault="00157644" w:rsidP="001A314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5865DC">
      <w:rPr>
        <w:rFonts w:ascii="Calibri" w:eastAsia="Calibri" w:hAnsi="Calibri"/>
        <w:noProof/>
        <w:sz w:val="22"/>
        <w:szCs w:val="22"/>
        <w:bdr w:val="none" w:sz="0" w:space="0" w:color="auto"/>
        <w:lang w:val="pl-PL" w:eastAsia="pl-PL"/>
      </w:rPr>
      <w:drawing>
        <wp:anchor distT="0" distB="0" distL="114300" distR="114300" simplePos="0" relativeHeight="251659264" behindDoc="0" locked="0" layoutInCell="1" allowOverlap="1" wp14:anchorId="22B5D772" wp14:editId="3516F533">
          <wp:simplePos x="0" y="0"/>
          <wp:positionH relativeFrom="column">
            <wp:posOffset>-720090</wp:posOffset>
          </wp:positionH>
          <wp:positionV relativeFrom="paragraph">
            <wp:posOffset>-6350</wp:posOffset>
          </wp:positionV>
          <wp:extent cx="7790815" cy="2152650"/>
          <wp:effectExtent l="0" t="0" r="63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815" cy="215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0809">
      <w:rPr>
        <w:rFonts w:ascii="Calibri" w:eastAsia="Calibri" w:hAnsi="Calibri"/>
        <w:noProof/>
        <w:sz w:val="22"/>
        <w:szCs w:val="22"/>
        <w:bdr w:val="none" w:sz="0" w:space="0" w:color="auto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975A0" wp14:editId="17D5DFDB">
              <wp:simplePos x="0" y="0"/>
              <wp:positionH relativeFrom="column">
                <wp:posOffset>1985010</wp:posOffset>
              </wp:positionH>
              <wp:positionV relativeFrom="paragraph">
                <wp:posOffset>427990</wp:posOffset>
              </wp:positionV>
              <wp:extent cx="4457700" cy="15335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7700" cy="153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576E13" w14:textId="77777777" w:rsidR="00157644" w:rsidRPr="00B03BA4" w:rsidRDefault="00157644" w:rsidP="00B03BA4">
                          <w:pPr>
                            <w:spacing w:after="120"/>
                            <w:rPr>
                              <w:rFonts w:ascii="Calibri" w:hAnsi="Calibri"/>
                              <w:b/>
                              <w:sz w:val="32"/>
                              <w:lang w:val="pl-PL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  <w:lang w:val="pl-PL"/>
                            </w:rPr>
                            <w:t>Opracowanie</w:t>
                          </w:r>
                          <w:r w:rsidRPr="00B03BA4">
                            <w:rPr>
                              <w:rFonts w:ascii="Calibri" w:hAnsi="Calibri"/>
                              <w:b/>
                              <w:sz w:val="32"/>
                              <w:lang w:val="pl-PL"/>
                            </w:rPr>
                            <w:t xml:space="preserve"> planów adaptacji do zmian klimatu w 44 miastach powyżej 100 tys.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  <w:lang w:val="pl-PL"/>
                            </w:rPr>
                            <w:t>mieszkańców</w:t>
                          </w:r>
                        </w:p>
                        <w:p w14:paraId="7026BE78" w14:textId="77777777" w:rsidR="00157644" w:rsidRDefault="00157644" w:rsidP="00B03BA4">
                          <w:pPr>
                            <w:rPr>
                              <w:rFonts w:ascii="Calibri" w:hAnsi="Calibri"/>
                              <w:lang w:val="pl-PL"/>
                            </w:rPr>
                          </w:pPr>
                          <w:r>
                            <w:rPr>
                              <w:rFonts w:ascii="Calibri" w:hAnsi="Calibri"/>
                              <w:lang w:val="pl-PL"/>
                            </w:rPr>
                            <w:t xml:space="preserve">Beneficjent: </w:t>
                          </w:r>
                          <w:r w:rsidRPr="00B03BA4">
                            <w:rPr>
                              <w:rFonts w:ascii="Calibri" w:hAnsi="Calibri"/>
                              <w:lang w:val="pl-PL"/>
                            </w:rPr>
                            <w:t>Ministerstwo Środowiska</w:t>
                          </w:r>
                        </w:p>
                        <w:p w14:paraId="1965ED45" w14:textId="77777777" w:rsidR="00157644" w:rsidRDefault="00157644" w:rsidP="00B03BA4">
                          <w:pPr>
                            <w:rPr>
                              <w:rFonts w:ascii="Calibri" w:hAnsi="Calibri"/>
                              <w:lang w:val="pl-PL"/>
                            </w:rPr>
                          </w:pPr>
                          <w:r>
                            <w:rPr>
                              <w:rFonts w:ascii="Calibri" w:hAnsi="Calibri"/>
                              <w:lang w:val="pl-PL"/>
                            </w:rPr>
                            <w:t>Partnerzy: 44 miasta Polski</w:t>
                          </w:r>
                        </w:p>
                        <w:p w14:paraId="764C244A" w14:textId="77777777" w:rsidR="00157644" w:rsidRDefault="00157644" w:rsidP="00B03BA4">
                          <w:pPr>
                            <w:rPr>
                              <w:rFonts w:ascii="Calibri" w:hAnsi="Calibri"/>
                              <w:lang w:val="pl-PL"/>
                            </w:rPr>
                          </w:pPr>
                          <w:r>
                            <w:rPr>
                              <w:rFonts w:ascii="Calibri" w:hAnsi="Calibri"/>
                              <w:lang w:val="pl-PL"/>
                            </w:rPr>
                            <w:t>Termin realizacji: 2017-2019</w:t>
                          </w:r>
                        </w:p>
                        <w:p w14:paraId="62191BDF" w14:textId="77777777" w:rsidR="00157644" w:rsidRPr="00B03BA4" w:rsidRDefault="00157644" w:rsidP="00B03BA4">
                          <w:pPr>
                            <w:rPr>
                              <w:rFonts w:ascii="Calibri" w:hAnsi="Calibri"/>
                              <w:lang w:val="pl-PL"/>
                            </w:rPr>
                          </w:pPr>
                          <w:r>
                            <w:rPr>
                              <w:rFonts w:ascii="Calibri" w:hAnsi="Calibri"/>
                              <w:lang w:val="pl-PL"/>
                            </w:rPr>
                            <w:t xml:space="preserve">Wykonawca: Konsorcjum – IOŚ-PIB, IMGW – PIB, IETU,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lang w:val="pl-PL"/>
                            </w:rPr>
                            <w:t>Arcadis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975A0"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6" type="#_x0000_t202" style="position:absolute;margin-left:156.3pt;margin-top:33.7pt;width:351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" filled="f" stroked="f" strokeweight=".5pt">
              <v:path arrowok="t"/>
              <v:textbox>
                <w:txbxContent>
                  <w:p w14:paraId="77576E13" w14:textId="77777777" w:rsidR="00157644" w:rsidRPr="00B03BA4" w:rsidRDefault="00157644" w:rsidP="00B03BA4">
                    <w:pPr>
                      <w:spacing w:after="120"/>
                      <w:rPr>
                        <w:rFonts w:ascii="Calibri" w:hAnsi="Calibri"/>
                        <w:b/>
                        <w:sz w:val="32"/>
                        <w:lang w:val="pl-PL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  <w:lang w:val="pl-PL"/>
                      </w:rPr>
                      <w:t>Opracowanie</w:t>
                    </w:r>
                    <w:r w:rsidRPr="00B03BA4">
                      <w:rPr>
                        <w:rFonts w:ascii="Calibri" w:hAnsi="Calibri"/>
                        <w:b/>
                        <w:sz w:val="32"/>
                        <w:lang w:val="pl-PL"/>
                      </w:rPr>
                      <w:t xml:space="preserve"> planów adaptacji do zmian klimatu w 44 miastach powyżej 100 tys. </w:t>
                    </w:r>
                    <w:r>
                      <w:rPr>
                        <w:rFonts w:ascii="Calibri" w:hAnsi="Calibri"/>
                        <w:b/>
                        <w:sz w:val="32"/>
                        <w:lang w:val="pl-PL"/>
                      </w:rPr>
                      <w:t>mieszkańców</w:t>
                    </w:r>
                  </w:p>
                  <w:p w14:paraId="7026BE78" w14:textId="77777777" w:rsidR="00157644" w:rsidRDefault="00157644" w:rsidP="00B03BA4">
                    <w:pPr>
                      <w:rPr>
                        <w:rFonts w:ascii="Calibri" w:hAnsi="Calibri"/>
                        <w:lang w:val="pl-PL"/>
                      </w:rPr>
                    </w:pPr>
                    <w:r>
                      <w:rPr>
                        <w:rFonts w:ascii="Calibri" w:hAnsi="Calibri"/>
                        <w:lang w:val="pl-PL"/>
                      </w:rPr>
                      <w:t xml:space="preserve">Beneficjent: </w:t>
                    </w:r>
                    <w:r w:rsidRPr="00B03BA4">
                      <w:rPr>
                        <w:rFonts w:ascii="Calibri" w:hAnsi="Calibri"/>
                        <w:lang w:val="pl-PL"/>
                      </w:rPr>
                      <w:t>Ministerstwo Środowiska</w:t>
                    </w:r>
                  </w:p>
                  <w:p w14:paraId="1965ED45" w14:textId="77777777" w:rsidR="00157644" w:rsidRDefault="00157644" w:rsidP="00B03BA4">
                    <w:pPr>
                      <w:rPr>
                        <w:rFonts w:ascii="Calibri" w:hAnsi="Calibri"/>
                        <w:lang w:val="pl-PL"/>
                      </w:rPr>
                    </w:pPr>
                    <w:r>
                      <w:rPr>
                        <w:rFonts w:ascii="Calibri" w:hAnsi="Calibri"/>
                        <w:lang w:val="pl-PL"/>
                      </w:rPr>
                      <w:t>Partnerzy: 44 miasta Polski</w:t>
                    </w:r>
                  </w:p>
                  <w:p w14:paraId="764C244A" w14:textId="77777777" w:rsidR="00157644" w:rsidRDefault="00157644" w:rsidP="00B03BA4">
                    <w:pPr>
                      <w:rPr>
                        <w:rFonts w:ascii="Calibri" w:hAnsi="Calibri"/>
                        <w:lang w:val="pl-PL"/>
                      </w:rPr>
                    </w:pPr>
                    <w:r>
                      <w:rPr>
                        <w:rFonts w:ascii="Calibri" w:hAnsi="Calibri"/>
                        <w:lang w:val="pl-PL"/>
                      </w:rPr>
                      <w:t>Termin realizacji: 2017-2019</w:t>
                    </w:r>
                  </w:p>
                  <w:p w14:paraId="62191BDF" w14:textId="77777777" w:rsidR="00157644" w:rsidRPr="00B03BA4" w:rsidRDefault="00157644" w:rsidP="00B03BA4">
                    <w:pPr>
                      <w:rPr>
                        <w:rFonts w:ascii="Calibri" w:hAnsi="Calibri"/>
                        <w:lang w:val="pl-PL"/>
                      </w:rPr>
                    </w:pPr>
                    <w:r>
                      <w:rPr>
                        <w:rFonts w:ascii="Calibri" w:hAnsi="Calibri"/>
                        <w:lang w:val="pl-PL"/>
                      </w:rPr>
                      <w:t>Wykonawca: Konsorcjum – IOŚ-PIB, IMGW – PIB, IETU, Arcadis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624"/>
    <w:multiLevelType w:val="hybridMultilevel"/>
    <w:tmpl w:val="CA3610E0"/>
    <w:lvl w:ilvl="0" w:tplc="A6825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4A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907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28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CB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E7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A9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06C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AE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37113E"/>
    <w:multiLevelType w:val="hybridMultilevel"/>
    <w:tmpl w:val="55E6C8B6"/>
    <w:lvl w:ilvl="0" w:tplc="6EB6C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85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6C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C5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4C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0B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BEB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0F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E8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2C4771"/>
    <w:multiLevelType w:val="hybridMultilevel"/>
    <w:tmpl w:val="E7681A2C"/>
    <w:lvl w:ilvl="0" w:tplc="7466F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1A7B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5F42EC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9E409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8037A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3B6B45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24CD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2A30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FA6FC3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1A12512"/>
    <w:multiLevelType w:val="hybridMultilevel"/>
    <w:tmpl w:val="BC78E8A8"/>
    <w:lvl w:ilvl="0" w:tplc="F19A2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81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A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83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4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26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0F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49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1C5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0F32B0"/>
    <w:multiLevelType w:val="hybridMultilevel"/>
    <w:tmpl w:val="6B1204B0"/>
    <w:lvl w:ilvl="0" w:tplc="CBA862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AC"/>
    <w:rsid w:val="00001E07"/>
    <w:rsid w:val="000033FE"/>
    <w:rsid w:val="0001245A"/>
    <w:rsid w:val="000240C4"/>
    <w:rsid w:val="0003504E"/>
    <w:rsid w:val="00045D30"/>
    <w:rsid w:val="00050254"/>
    <w:rsid w:val="00052A48"/>
    <w:rsid w:val="00052FCB"/>
    <w:rsid w:val="000630A5"/>
    <w:rsid w:val="00070D1D"/>
    <w:rsid w:val="00073AF8"/>
    <w:rsid w:val="00091162"/>
    <w:rsid w:val="000A32BC"/>
    <w:rsid w:val="000A58B9"/>
    <w:rsid w:val="000B5BBB"/>
    <w:rsid w:val="000C354E"/>
    <w:rsid w:val="000D1A1C"/>
    <w:rsid w:val="000D54E3"/>
    <w:rsid w:val="00113CC5"/>
    <w:rsid w:val="00116CA0"/>
    <w:rsid w:val="00123795"/>
    <w:rsid w:val="00141A42"/>
    <w:rsid w:val="00144A3C"/>
    <w:rsid w:val="0014565D"/>
    <w:rsid w:val="0015044B"/>
    <w:rsid w:val="00157644"/>
    <w:rsid w:val="0016661E"/>
    <w:rsid w:val="0018732E"/>
    <w:rsid w:val="001A3149"/>
    <w:rsid w:val="001A4067"/>
    <w:rsid w:val="001B47F4"/>
    <w:rsid w:val="001B5943"/>
    <w:rsid w:val="001E3162"/>
    <w:rsid w:val="001E3A4C"/>
    <w:rsid w:val="001E47A7"/>
    <w:rsid w:val="00206AF2"/>
    <w:rsid w:val="00214C70"/>
    <w:rsid w:val="00216094"/>
    <w:rsid w:val="002176C2"/>
    <w:rsid w:val="00234018"/>
    <w:rsid w:val="00237D47"/>
    <w:rsid w:val="002439ED"/>
    <w:rsid w:val="00243E85"/>
    <w:rsid w:val="00272C78"/>
    <w:rsid w:val="00276201"/>
    <w:rsid w:val="00276CE4"/>
    <w:rsid w:val="002818B2"/>
    <w:rsid w:val="00287107"/>
    <w:rsid w:val="00291549"/>
    <w:rsid w:val="002A4B66"/>
    <w:rsid w:val="002B2094"/>
    <w:rsid w:val="002B2121"/>
    <w:rsid w:val="002C4B01"/>
    <w:rsid w:val="002D3475"/>
    <w:rsid w:val="002D67DF"/>
    <w:rsid w:val="002E6D2B"/>
    <w:rsid w:val="002F134D"/>
    <w:rsid w:val="003045BC"/>
    <w:rsid w:val="00331AC8"/>
    <w:rsid w:val="003541A1"/>
    <w:rsid w:val="0036285E"/>
    <w:rsid w:val="00363086"/>
    <w:rsid w:val="00377A4F"/>
    <w:rsid w:val="00377C5A"/>
    <w:rsid w:val="00382635"/>
    <w:rsid w:val="00383105"/>
    <w:rsid w:val="00391049"/>
    <w:rsid w:val="003A0746"/>
    <w:rsid w:val="003A3234"/>
    <w:rsid w:val="003B715D"/>
    <w:rsid w:val="003C1A54"/>
    <w:rsid w:val="003D28BB"/>
    <w:rsid w:val="004003D8"/>
    <w:rsid w:val="00413227"/>
    <w:rsid w:val="0042017D"/>
    <w:rsid w:val="0042411B"/>
    <w:rsid w:val="0043357D"/>
    <w:rsid w:val="00436E4E"/>
    <w:rsid w:val="0044659B"/>
    <w:rsid w:val="00446F9A"/>
    <w:rsid w:val="00466DDD"/>
    <w:rsid w:val="00476770"/>
    <w:rsid w:val="00492172"/>
    <w:rsid w:val="00494E31"/>
    <w:rsid w:val="004A60CB"/>
    <w:rsid w:val="004B0EC4"/>
    <w:rsid w:val="004B39C1"/>
    <w:rsid w:val="004C0A33"/>
    <w:rsid w:val="004C3C6B"/>
    <w:rsid w:val="004C3E38"/>
    <w:rsid w:val="004C3F1A"/>
    <w:rsid w:val="004C5B54"/>
    <w:rsid w:val="004E123F"/>
    <w:rsid w:val="004E29BE"/>
    <w:rsid w:val="004F1ADE"/>
    <w:rsid w:val="004F5E3F"/>
    <w:rsid w:val="0050666D"/>
    <w:rsid w:val="00507CD2"/>
    <w:rsid w:val="00535697"/>
    <w:rsid w:val="00550FA1"/>
    <w:rsid w:val="005768D6"/>
    <w:rsid w:val="00582550"/>
    <w:rsid w:val="00584686"/>
    <w:rsid w:val="005865DC"/>
    <w:rsid w:val="00593BDF"/>
    <w:rsid w:val="005B208F"/>
    <w:rsid w:val="005B5003"/>
    <w:rsid w:val="00603CF9"/>
    <w:rsid w:val="0061037D"/>
    <w:rsid w:val="0061417D"/>
    <w:rsid w:val="006307BE"/>
    <w:rsid w:val="0063268D"/>
    <w:rsid w:val="00676186"/>
    <w:rsid w:val="0069277B"/>
    <w:rsid w:val="00692941"/>
    <w:rsid w:val="006964F7"/>
    <w:rsid w:val="006B2B04"/>
    <w:rsid w:val="006E27BE"/>
    <w:rsid w:val="00721A9D"/>
    <w:rsid w:val="00735BB0"/>
    <w:rsid w:val="00741B74"/>
    <w:rsid w:val="00742E7E"/>
    <w:rsid w:val="00762995"/>
    <w:rsid w:val="00775351"/>
    <w:rsid w:val="0077693E"/>
    <w:rsid w:val="00780952"/>
    <w:rsid w:val="007935D5"/>
    <w:rsid w:val="007A3B25"/>
    <w:rsid w:val="007B1339"/>
    <w:rsid w:val="007C38FF"/>
    <w:rsid w:val="007E0976"/>
    <w:rsid w:val="007F4E3E"/>
    <w:rsid w:val="008111A4"/>
    <w:rsid w:val="00814211"/>
    <w:rsid w:val="00817EEB"/>
    <w:rsid w:val="00821015"/>
    <w:rsid w:val="00823970"/>
    <w:rsid w:val="00831DB1"/>
    <w:rsid w:val="00841A2D"/>
    <w:rsid w:val="0084317D"/>
    <w:rsid w:val="00850591"/>
    <w:rsid w:val="00876AB6"/>
    <w:rsid w:val="00877609"/>
    <w:rsid w:val="008835A1"/>
    <w:rsid w:val="008A4732"/>
    <w:rsid w:val="008B3DD9"/>
    <w:rsid w:val="008B67DC"/>
    <w:rsid w:val="008F0410"/>
    <w:rsid w:val="008F050B"/>
    <w:rsid w:val="00926559"/>
    <w:rsid w:val="0093295C"/>
    <w:rsid w:val="00933C5B"/>
    <w:rsid w:val="00935A2A"/>
    <w:rsid w:val="0095203A"/>
    <w:rsid w:val="00954861"/>
    <w:rsid w:val="00960091"/>
    <w:rsid w:val="009616B9"/>
    <w:rsid w:val="0097545A"/>
    <w:rsid w:val="0098061F"/>
    <w:rsid w:val="00987330"/>
    <w:rsid w:val="00992442"/>
    <w:rsid w:val="009956EA"/>
    <w:rsid w:val="009A2F7B"/>
    <w:rsid w:val="009A64B6"/>
    <w:rsid w:val="009A753A"/>
    <w:rsid w:val="009C7A3B"/>
    <w:rsid w:val="009E69B5"/>
    <w:rsid w:val="009F39A9"/>
    <w:rsid w:val="009F60A5"/>
    <w:rsid w:val="00A06E0E"/>
    <w:rsid w:val="00A132D6"/>
    <w:rsid w:val="00A238D1"/>
    <w:rsid w:val="00A3011D"/>
    <w:rsid w:val="00A374D9"/>
    <w:rsid w:val="00A573D9"/>
    <w:rsid w:val="00A65AD2"/>
    <w:rsid w:val="00A71E7A"/>
    <w:rsid w:val="00A738B4"/>
    <w:rsid w:val="00A76EFF"/>
    <w:rsid w:val="00A82736"/>
    <w:rsid w:val="00A91706"/>
    <w:rsid w:val="00AA0850"/>
    <w:rsid w:val="00AA1FC1"/>
    <w:rsid w:val="00AD4F5B"/>
    <w:rsid w:val="00AE6268"/>
    <w:rsid w:val="00AF0EFD"/>
    <w:rsid w:val="00AF51B9"/>
    <w:rsid w:val="00AF6E93"/>
    <w:rsid w:val="00B03BA4"/>
    <w:rsid w:val="00B06CD1"/>
    <w:rsid w:val="00B10809"/>
    <w:rsid w:val="00B227A3"/>
    <w:rsid w:val="00B251E6"/>
    <w:rsid w:val="00B318DE"/>
    <w:rsid w:val="00B32E31"/>
    <w:rsid w:val="00B36C71"/>
    <w:rsid w:val="00B44A92"/>
    <w:rsid w:val="00B60D1D"/>
    <w:rsid w:val="00B93F4C"/>
    <w:rsid w:val="00B94B19"/>
    <w:rsid w:val="00B9601C"/>
    <w:rsid w:val="00BA238A"/>
    <w:rsid w:val="00BB03FC"/>
    <w:rsid w:val="00BC580B"/>
    <w:rsid w:val="00BE076E"/>
    <w:rsid w:val="00BE23E5"/>
    <w:rsid w:val="00BE4196"/>
    <w:rsid w:val="00BF5F29"/>
    <w:rsid w:val="00C01B94"/>
    <w:rsid w:val="00C10E7D"/>
    <w:rsid w:val="00C1468D"/>
    <w:rsid w:val="00C20789"/>
    <w:rsid w:val="00C21D1B"/>
    <w:rsid w:val="00C3612E"/>
    <w:rsid w:val="00C44477"/>
    <w:rsid w:val="00C6032D"/>
    <w:rsid w:val="00C631A6"/>
    <w:rsid w:val="00C67436"/>
    <w:rsid w:val="00C7028F"/>
    <w:rsid w:val="00C824A6"/>
    <w:rsid w:val="00C92A44"/>
    <w:rsid w:val="00CA5EAD"/>
    <w:rsid w:val="00CC6F68"/>
    <w:rsid w:val="00CD0829"/>
    <w:rsid w:val="00CD0933"/>
    <w:rsid w:val="00CE547D"/>
    <w:rsid w:val="00CE5987"/>
    <w:rsid w:val="00CF3B1A"/>
    <w:rsid w:val="00CF5226"/>
    <w:rsid w:val="00CF618E"/>
    <w:rsid w:val="00D0612C"/>
    <w:rsid w:val="00D11102"/>
    <w:rsid w:val="00D152AB"/>
    <w:rsid w:val="00D15661"/>
    <w:rsid w:val="00D172BA"/>
    <w:rsid w:val="00D26E86"/>
    <w:rsid w:val="00D3161C"/>
    <w:rsid w:val="00D33146"/>
    <w:rsid w:val="00D42DF5"/>
    <w:rsid w:val="00D4778E"/>
    <w:rsid w:val="00D52F69"/>
    <w:rsid w:val="00D61033"/>
    <w:rsid w:val="00D77628"/>
    <w:rsid w:val="00D83F2A"/>
    <w:rsid w:val="00D95F0E"/>
    <w:rsid w:val="00DA42FE"/>
    <w:rsid w:val="00DB4C20"/>
    <w:rsid w:val="00DB5FC3"/>
    <w:rsid w:val="00DB797E"/>
    <w:rsid w:val="00DC1E9F"/>
    <w:rsid w:val="00DD20F5"/>
    <w:rsid w:val="00DD415B"/>
    <w:rsid w:val="00DD4260"/>
    <w:rsid w:val="00DE3CA0"/>
    <w:rsid w:val="00DE5340"/>
    <w:rsid w:val="00DF314F"/>
    <w:rsid w:val="00E03D67"/>
    <w:rsid w:val="00E2607A"/>
    <w:rsid w:val="00E350AC"/>
    <w:rsid w:val="00E35DBB"/>
    <w:rsid w:val="00E43140"/>
    <w:rsid w:val="00E44680"/>
    <w:rsid w:val="00E4667F"/>
    <w:rsid w:val="00E47F0A"/>
    <w:rsid w:val="00E730E9"/>
    <w:rsid w:val="00E75AB1"/>
    <w:rsid w:val="00E978BD"/>
    <w:rsid w:val="00EA699E"/>
    <w:rsid w:val="00ED0624"/>
    <w:rsid w:val="00EF348E"/>
    <w:rsid w:val="00EF7E3B"/>
    <w:rsid w:val="00F16D5C"/>
    <w:rsid w:val="00F314CB"/>
    <w:rsid w:val="00F5259A"/>
    <w:rsid w:val="00F556C3"/>
    <w:rsid w:val="00F60A88"/>
    <w:rsid w:val="00F676B3"/>
    <w:rsid w:val="00F767AB"/>
    <w:rsid w:val="00F77380"/>
    <w:rsid w:val="00FA625F"/>
    <w:rsid w:val="00FC1CA4"/>
    <w:rsid w:val="00FC5701"/>
    <w:rsid w:val="00FD1C1F"/>
    <w:rsid w:val="00FD344F"/>
    <w:rsid w:val="00FF0857"/>
    <w:rsid w:val="00FF0E5A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14D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sid w:val="00363086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21A9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17"/>
      <w:szCs w:val="2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3086"/>
    <w:rPr>
      <w:u w:val="single"/>
    </w:rPr>
  </w:style>
  <w:style w:type="table" w:customStyle="1" w:styleId="TableNormal">
    <w:name w:val="Table Normal"/>
    <w:rsid w:val="003630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63086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A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B6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1A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1A5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A54"/>
    <w:rPr>
      <w:b/>
      <w:bCs/>
      <w:lang w:val="en-US" w:eastAsia="en-US"/>
    </w:rPr>
  </w:style>
  <w:style w:type="paragraph" w:customStyle="1" w:styleId="Domylne">
    <w:name w:val="Domyślne"/>
    <w:rsid w:val="00E35DBB"/>
    <w:rPr>
      <w:rFonts w:ascii="Helvetica" w:hAnsi="Helvetica" w:cs="Arial Unicode MS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003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33FE"/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A9D"/>
    <w:rPr>
      <w:rFonts w:asciiTheme="majorHAnsi" w:eastAsiaTheme="majorEastAsia" w:hAnsiTheme="majorHAnsi" w:cstheme="majorBidi"/>
      <w:b/>
      <w:bCs/>
      <w:i/>
      <w:color w:val="000000" w:themeColor="text1"/>
      <w:sz w:val="17"/>
      <w:szCs w:val="26"/>
      <w:bdr w:val="none" w:sz="0" w:space="0" w:color="auto"/>
      <w:lang w:val="en-US" w:eastAsia="en-US"/>
    </w:rPr>
  </w:style>
  <w:style w:type="paragraph" w:styleId="Poprawka">
    <w:name w:val="Revision"/>
    <w:hidden/>
    <w:uiPriority w:val="99"/>
    <w:semiHidden/>
    <w:rsid w:val="00CD08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586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5D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86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5DC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E6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26559"/>
    <w:rPr>
      <w:color w:val="FF00FF" w:themeColor="followedHyperlink"/>
      <w:u w:val="single"/>
    </w:rPr>
  </w:style>
  <w:style w:type="paragraph" w:styleId="Akapitzlist">
    <w:name w:val="List Paragraph"/>
    <w:aliases w:val="Resume Title,Citation List,Ha,List Paragraph1,Body,List Paragraph_Table bullets,Bullet List Paragraph,Listes,Paragraphe de liste 2,Reference list,Lettre d'introduction,Paragrafo elenco,1st level - Bullet List Paragraph,Yellow Bullet"/>
    <w:basedOn w:val="Normalny"/>
    <w:link w:val="AkapitzlistZnak"/>
    <w:uiPriority w:val="34"/>
    <w:qFormat/>
    <w:rsid w:val="00113C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88" w:lineRule="auto"/>
      <w:ind w:left="720" w:firstLine="357"/>
      <w:contextualSpacing/>
      <w:jc w:val="both"/>
    </w:pPr>
    <w:rPr>
      <w:rFonts w:asciiTheme="minorHAnsi" w:eastAsiaTheme="minorHAnsi" w:hAnsiTheme="minorHAnsi"/>
      <w:bdr w:val="none" w:sz="0" w:space="0" w:color="auto"/>
      <w:lang w:val="pl-PL" w:eastAsia="pl-PL"/>
    </w:rPr>
  </w:style>
  <w:style w:type="character" w:customStyle="1" w:styleId="AkapitzlistZnak">
    <w:name w:val="Akapit z listą Znak"/>
    <w:aliases w:val="Resume Title Znak,Citation List Znak,Ha Znak,List Paragraph1 Znak,Body Znak,List Paragraph_Table bullets Znak,Bullet List Paragraph Znak,Listes Znak,Paragraphe de liste 2 Znak,Reference list Znak,Lettre d'introduction Znak"/>
    <w:basedOn w:val="Domylnaczcionkaakapitu"/>
    <w:link w:val="Akapitzlist"/>
    <w:uiPriority w:val="34"/>
    <w:locked/>
    <w:rsid w:val="00113CC5"/>
    <w:rPr>
      <w:rFonts w:asciiTheme="minorHAnsi" w:eastAsiaTheme="minorHAnsi" w:hAnsiTheme="minorHAnsi"/>
      <w:sz w:val="24"/>
      <w:szCs w:val="24"/>
      <w:bdr w:val="none" w:sz="0" w:space="0" w:color="auto"/>
    </w:rPr>
  </w:style>
  <w:style w:type="paragraph" w:customStyle="1" w:styleId="Styl2">
    <w:name w:val="Styl2"/>
    <w:basedOn w:val="Normalny"/>
    <w:link w:val="Styl2Znak"/>
    <w:autoRedefine/>
    <w:qFormat/>
    <w:rsid w:val="00B32E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357"/>
      <w:jc w:val="both"/>
      <w:outlineLvl w:val="0"/>
    </w:pPr>
    <w:rPr>
      <w:rFonts w:ascii="Arial" w:eastAsiaTheme="minorHAnsi" w:hAnsi="Arial" w:cs="Arial"/>
      <w:b/>
      <w:smallCaps/>
      <w:color w:val="2F759E" w:themeColor="accent1" w:themeShade="BF"/>
      <w:szCs w:val="32"/>
      <w:bdr w:val="none" w:sz="0" w:space="0" w:color="auto"/>
      <w:lang w:val="pl-PL" w:eastAsia="pl-PL"/>
    </w:rPr>
  </w:style>
  <w:style w:type="character" w:customStyle="1" w:styleId="Styl2Znak">
    <w:name w:val="Styl2 Znak"/>
    <w:basedOn w:val="Domylnaczcionkaakapitu"/>
    <w:link w:val="Styl2"/>
    <w:rsid w:val="00B32E31"/>
    <w:rPr>
      <w:rFonts w:ascii="Arial" w:eastAsiaTheme="minorHAnsi" w:hAnsi="Arial" w:cs="Arial"/>
      <w:b/>
      <w:smallCaps/>
      <w:color w:val="2F759E" w:themeColor="accent1" w:themeShade="BF"/>
      <w:sz w:val="24"/>
      <w:szCs w:val="32"/>
      <w:bdr w:val="none" w:sz="0" w:space="0" w:color="auto"/>
    </w:rPr>
  </w:style>
  <w:style w:type="paragraph" w:customStyle="1" w:styleId="Tre">
    <w:name w:val="Treść"/>
    <w:rsid w:val="00243E85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.gorgon@ietu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909A-91A0-E44A-A795-4728FF29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1303</Words>
  <Characters>7819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Kobiela, Katarzyna</dc:creator>
  <cp:lastModifiedBy>Użytkownik Microsoft Office</cp:lastModifiedBy>
  <cp:revision>3</cp:revision>
  <cp:lastPrinted>2017-03-01T13:59:00Z</cp:lastPrinted>
  <dcterms:created xsi:type="dcterms:W3CDTF">2017-03-01T13:50:00Z</dcterms:created>
  <dcterms:modified xsi:type="dcterms:W3CDTF">2017-03-01T14:13:00Z</dcterms:modified>
</cp:coreProperties>
</file>